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53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9"/>
        <w:gridCol w:w="1214"/>
        <w:gridCol w:w="1254"/>
        <w:gridCol w:w="256"/>
        <w:gridCol w:w="2203"/>
        <w:gridCol w:w="2953"/>
        <w:gridCol w:w="2093"/>
        <w:gridCol w:w="1624"/>
        <w:gridCol w:w="1656"/>
        <w:gridCol w:w="1657"/>
      </w:tblGrid>
      <w:tr>
        <w:tblPrEx>
          <w:shd w:val="clear" w:color="auto" w:fill="d0ddef"/>
        </w:tblPrEx>
        <w:trPr>
          <w:trHeight w:val="533" w:hRule="atLeast"/>
        </w:trPr>
        <w:tc>
          <w:tcPr>
            <w:tcW w:type="dxa" w:w="1643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713"/>
            <w:gridSpan w:val="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1</w:t>
            </w:r>
          </w:p>
        </w:tc>
        <w:tc>
          <w:tcPr>
            <w:tcW w:type="dxa" w:w="9983"/>
            <w:gridSpan w:val="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12-23 OCTUBRE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429"/>
            <w:vMerge w:val="restart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BLOQUE</w:t>
            </w:r>
          </w:p>
        </w:tc>
        <w:tc>
          <w:tcPr>
            <w:tcW w:type="dxa" w:w="246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5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2203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952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APRENDIZAJE</w:t>
            </w:r>
          </w:p>
        </w:tc>
        <w:tc>
          <w:tcPr>
            <w:tcW w:type="dxa" w:w="7030"/>
            <w:gridSpan w:val="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NIVELES DE ADQUISICI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16" w:hRule="atLeast"/>
        </w:trPr>
        <w:tc>
          <w:tcPr>
            <w:tcW w:type="dxa" w:w="429"/>
            <w:vMerge w:val="continue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6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5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03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952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2197" w:hRule="atLeast"/>
        </w:trPr>
        <w:tc>
          <w:tcPr>
            <w:tcW w:type="dxa" w:w="42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468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di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logos y conversaciones en las que se indica direcci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5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20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95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variados.</w:t>
            </w:r>
          </w:p>
        </w:tc>
        <w:tc>
          <w:tcPr>
            <w:tcW w:type="dxa" w:w="209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No capta el sentido general de anuncios publicitarios sencillos sobre productos que le interesan.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162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7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300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Funciones comunicativas: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identificar peticiones y excusas.</w:t>
            </w:r>
          </w:p>
        </w:tc>
        <w:tc>
          <w:tcPr>
            <w:tcW w:type="dxa" w:w="255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2203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dice en transacciones habituales sencillas.</w:t>
            </w:r>
          </w:p>
        </w:tc>
        <w:tc>
          <w:tcPr>
            <w:tcW w:type="dxa" w:w="209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162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7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5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03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93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020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Present Present simple / present continuous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+ verb + -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):</w:t>
            </w:r>
          </w:p>
          <w:p>
            <w:pPr>
              <w:pStyle w:val="Cuerpo"/>
              <w:bidi w:val="0"/>
              <w:spacing w:after="0"/>
              <w:ind w:left="15" w:right="0" w:firstLine="0"/>
              <w:jc w:val="both"/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eats honey. They eat honey. It doesn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catch flies. They don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sting people. It's working in the hive. Beetles are eating wood. It isn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jumping. They aren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making webs.</w:t>
            </w:r>
          </w:p>
          <w:p>
            <w:pPr>
              <w:pStyle w:val="Cuerpo"/>
              <w:bidi w:val="0"/>
              <w:spacing w:after="0"/>
              <w:ind w:left="15" w:right="0" w:firstLine="0"/>
              <w:jc w:val="both"/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</w:pPr>
          </w:p>
          <w:p>
            <w:pPr>
              <w:pStyle w:val="Cuerpo"/>
              <w:bidi w:val="0"/>
              <w:spacing w:after="0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Have to / has to.</w:t>
            </w:r>
          </w:p>
        </w:tc>
        <w:tc>
          <w:tcPr>
            <w:tcW w:type="dxa" w:w="255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estructuras trabajadas en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24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2918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5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ficos.sobre la vida de los insectos y las plantas.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91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frecuencia: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Insectos: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(worm, snail, beetle, wasp, fly, ant, ladybird, spider, centipede, mosquito, moth, and grasshopper)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</w:p>
          <w:p>
            <w:pPr>
              <w:pStyle w:val="Cuerpo"/>
              <w:bidi w:val="0"/>
              <w:spacing w:after="0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En el jard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bird feeder, scarecrow, greenhouse, petal, wheelbarrow, raspberry, pollen, watering can, stem, seeds, weeds, roots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2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(DVD) sobre el tema de la unidad.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040" w:hRule="atLeast"/>
        </w:trPr>
        <w:tc>
          <w:tcPr>
            <w:tcW w:type="dxa" w:w="42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2</w:t>
            </w:r>
          </w:p>
        </w:tc>
        <w:tc>
          <w:tcPr>
            <w:tcW w:type="dxa" w:w="2468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hablar sobre insectos, describir un jard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realizar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insectos.</w:t>
            </w:r>
          </w:p>
        </w:tc>
        <w:tc>
          <w:tcPr>
            <w:tcW w:type="dxa" w:w="255"/>
            <w:tcBorders>
              <w:top w:val="single" w:color="7030a0" w:sz="24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220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295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 presentaciones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producciones orales sobre los insectos y las plantas.</w:t>
            </w:r>
          </w:p>
        </w:tc>
        <w:tc>
          <w:tcPr>
            <w:tcW w:type="dxa" w:w="209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2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7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3659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68"/>
            <w:gridSpan w:val="2"/>
            <w:vMerge w:val="restart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 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xpresar hechos/h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bitos/rutinas/estados en presente; expresar acciones que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ocurriendo en el momento. Expresar condiciones y resultados de condiciones en situaciones reales en presente.</w:t>
            </w:r>
          </w:p>
        </w:tc>
        <w:tc>
          <w:tcPr>
            <w:tcW w:type="dxa" w:w="255"/>
            <w:vMerge w:val="restart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Participar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lenguaje oral en situaciones comunicativas en el aula.</w:t>
            </w:r>
          </w:p>
        </w:tc>
        <w:tc>
          <w:tcPr>
            <w:tcW w:type="dxa" w:w="209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2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1657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adecuados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a 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68"/>
            <w:gridSpan w:val="2"/>
            <w:vMerge w:val="continue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5"/>
            <w:vMerge w:val="continue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Hacerse entender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intervenciones breves y sencillas, aunque se produzcan titubeos, vacilaciones, repeticiones o pausas para reorganizar el discurso.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 .</w:t>
            </w:r>
          </w:p>
        </w:tc>
        <w:tc>
          <w:tcPr>
            <w:tcW w:type="dxa" w:w="209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62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656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657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</w:tcPr>
          <w:p/>
        </w:tc>
      </w:tr>
      <w:tr>
        <w:tblPrEx>
          <w:shd w:val="clear" w:color="auto" w:fill="d0ddef"/>
        </w:tblPrEx>
        <w:trPr>
          <w:trHeight w:val="2424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6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Present Present simple / present continuous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+ verb + -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):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eats honey. They eat honey. It doesn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catch flies. They don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sting people. It's working in the hive. Beetles are eating wood. It isn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jumping. They aren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 making webs. </w:t>
            </w:r>
          </w:p>
        </w:tc>
        <w:tc>
          <w:tcPr>
            <w:tcW w:type="dxa" w:w="2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Manejar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permitiendo algunos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1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6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Insectos: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(worm, snail, beetle, wasp, fly, ant, ladybird, spider, centipede, mosquito, moth, and grasshopper)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En el jard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bird feeder, scarecrow, greenhouse, petal, wheelbarrow, raspberry, pollen, watering can, stem, seeds, weeds, roots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2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y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 y 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Conoce y utiliza el vocabulario seleccionado para la unidad.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197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6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sonoros, acentuales, 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estr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en nombres compuestos.</w:t>
            </w:r>
          </w:p>
        </w:tc>
        <w:tc>
          <w:tcPr>
            <w:tcW w:type="dxa" w:w="2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Articular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muy limitado de patrones sonoros, acentuales, 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sicos, adapt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ndolos a 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que se quiere llevar a cabo.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Reproduce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patrones orales trabajados en el tema.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91" w:hRule="atLeast"/>
        </w:trPr>
        <w:tc>
          <w:tcPr>
            <w:tcW w:type="dxa" w:w="42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468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 instrucciones  para un experimento de ciencias, un poema sobre una historia, un texto informativo basado en datos objetivos,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los insectos.</w:t>
            </w:r>
          </w:p>
        </w:tc>
        <w:tc>
          <w:tcPr>
            <w:tcW w:type="dxa" w:w="25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20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95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 e 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textos sobre insectos y plantas.</w:t>
            </w:r>
          </w:p>
        </w:tc>
        <w:tc>
          <w:tcPr>
            <w:tcW w:type="dxa" w:w="209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65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sticos: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texto cross-curricular sobre la dispersi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semillas, un texto cultural sobre fruta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pica de otros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ses.</w:t>
            </w:r>
          </w:p>
        </w:tc>
        <w:tc>
          <w:tcPr>
            <w:tcW w:type="dxa" w:w="2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sicos, concretos y significativos, sobre vida cotidiana, condiciones de vida, relaciones interpersonales y convenciones sociales,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conocimientos adquiridos.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correspondencia breve y sencilla que trate sobre temas familiares.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1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comprender un texto informativo.</w:t>
            </w:r>
          </w:p>
        </w:tc>
        <w:tc>
          <w:tcPr>
            <w:tcW w:type="dxa" w:w="255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de los textos que aparecen en el tema.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17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5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habituales,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Comprende lo esencial de un texto informativo.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435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360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xico de alta frecuencia relativo a: Insectos: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worm, snail, beetle, wasp, fly, ant, ladybird, spider, centipede, mosquito, moth, and grasshopper)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</w:p>
          <w:p>
            <w:pPr>
              <w:pStyle w:val="Cuerpo"/>
              <w:bidi w:val="0"/>
              <w:spacing w:after="0"/>
              <w:ind w:left="36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En el jard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bird feeder, scarecrow, greenhouse, petal, wheelbarrow, raspberry, pollen, watering can, stem, seeds, weeds, roots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255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2203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significados probables de palabras y expresiones que se desconocen.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 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23" w:hRule="atLeast"/>
        </w:trPr>
        <w:tc>
          <w:tcPr>
            <w:tcW w:type="dxa" w:w="42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5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203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 texto los significados probables de palabras y expresiones que se desconocen.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utilizado en la unidad e infiere del contexto el significado de otras palabras que desconocen.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90" w:hRule="atLeast"/>
        </w:trPr>
        <w:tc>
          <w:tcPr>
            <w:tcW w:type="dxa" w:w="429"/>
            <w:vMerge w:val="restart"/>
            <w:tcBorders>
              <w:top w:val="nil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46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cticas: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present Present simple / present continuous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+ verb + -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):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eats honey. They eat honey. It doesn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catch flies. They don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sting people. It's working in the hive. Beetles are eating wood. It isn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jumping. They aren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making webs.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Zero conditional: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If a coconut falls into the sea, it travels a long way.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Language point: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it/them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 frases utilizando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trabajadas en la unidad, aunque con errores.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58" w:hRule="atLeast"/>
        </w:trPr>
        <w:tc>
          <w:tcPr>
            <w:tcW w:type="dxa" w:w="429"/>
            <w:vMerge w:val="continue"/>
            <w:tcBorders>
              <w:top w:val="nil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46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xico de alta frecuencia relativo a: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Insectos: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(worm, snail, beetle, wasp, fly, ant, ladybird, spider, centipede, mosquito, moth, and grasshopper)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En el jard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bird feeder, scarecrow, greenhouse, petal, wheelbarrow, raspberry, pollen, watering can, stem, seeds, weeds, roots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25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220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295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y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relativo al tema que trata la unidad (insectos, jard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n).</w:t>
            </w:r>
          </w:p>
        </w:tc>
        <w:tc>
          <w:tcPr>
            <w:tcW w:type="dxa" w:w="209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7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5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219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39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</w:p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83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Seed dispersal (ejercicios de lectura comprensiva):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"http://goo.gl/hOFYkP"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http://goo.gl/hOFYkP</w:t>
            </w:r>
            <w:r>
              <w:rPr/>
              <w:fldChar w:fldCharType="end" w:fldLock="0"/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Unusual fruit (ejercicio de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lectora con actividades interactivas, experimentos y descargas):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"http://goo.gl/HksWEZ"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http://goo.gl/HksWEZ</w:t>
            </w:r>
            <w:r>
              <w:rPr/>
              <w:fldChar w:fldCharType="end" w:fldLock="0"/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Pack de juegos de oxford premium.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Actividades publicadas en el blog creado para la clase: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"http://givemefivepeterino.blogspot.com"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s-ES_tradnl"/>
              </w:rPr>
              <w:t>http://givemefivepeterino.blogspot.com</w:t>
            </w:r>
            <w:r>
              <w:rPr/>
              <w:fldChar w:fldCharType="end" w:fldLock="0"/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ordenadores port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tiles durante una o dos sesiones semanales..</w:t>
            </w:r>
            <w:r>
              <w:rPr>
                <w:rStyle w:val="Ninguno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6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19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8698"/>
        <w:gridCol w:w="3871"/>
      </w:tblGrid>
      <w:tr>
        <w:tblPrEx>
          <w:shd w:val="clear" w:color="auto" w:fill="d0ddef"/>
        </w:tblPrEx>
        <w:trPr>
          <w:trHeight w:val="510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tcBorders>
              <w:top w:val="single" w:color="7030a0" w:sz="24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tcBorders>
              <w:top w:val="single" w:color="7030a0" w:sz="24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</w:tbl>
    <w:p>
      <w:pPr>
        <w:pStyle w:val="Cuerpo"/>
        <w:widowControl w:val="0"/>
        <w:spacing w:line="240" w:lineRule="auto"/>
      </w:pPr>
    </w:p>
    <w:tbl>
      <w:tblPr>
        <w:tblW w:w="15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374"/>
        <w:gridCol w:w="3090"/>
        <w:gridCol w:w="3090"/>
        <w:gridCol w:w="3090"/>
        <w:gridCol w:w="2791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3374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374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  <w:bookmarkStart w:name="h.gjdgxs" w:id="0"/>
      <w:bookmarkEnd w:id="0"/>
    </w:p>
    <w:p>
      <w:pPr>
        <w:pStyle w:val="Cuerpo"/>
        <w:jc w:val="both"/>
      </w:pPr>
    </w:p>
    <w:tbl>
      <w:tblPr>
        <w:tblW w:w="153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6"/>
      </w:tblGrid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15393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  <w:jc w:val="both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