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UNIDAD7: Buying a present.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ABRIL.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b/>
                <w:lang w:val="en-US"/>
              </w:rPr>
              <w:t xml:space="preserve">: </w:t>
            </w:r>
            <w:r>
              <w:rPr>
                <w:i/>
                <w:lang w:val="en-US"/>
              </w:rPr>
              <w:t>cash, coins, credit card, customer, department store, escalator, ground floor, note, salesperson, wallet.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Interrogación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Wh-questions: How much/How many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Normal"/>
              <w:rPr/>
            </w:pPr>
            <w:r>
              <w:rPr/>
              <w:t>- Expresión del tiempo: pasado (</w:t>
            </w:r>
            <w:r>
              <w:rPr>
                <w:i/>
              </w:rPr>
              <w:t>simple past</w:t>
            </w:r>
            <w:r>
              <w:rPr/>
              <w:t>); presente (</w:t>
            </w:r>
            <w:r>
              <w:rPr>
                <w:i/>
              </w:rPr>
              <w:t>simple present</w:t>
            </w:r>
            <w:r>
              <w:rPr/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/>
              <w:t>- Expresión de la existencia (</w:t>
            </w:r>
            <w:r>
              <w:rPr>
                <w:i/>
              </w:rPr>
              <w:t>there is</w:t>
            </w:r>
            <w:r>
              <w:rPr/>
              <w:t>/</w:t>
            </w:r>
            <w:r>
              <w:rPr>
                <w:i/>
              </w:rPr>
              <w:t>are</w:t>
            </w:r>
            <w:r>
              <w:rPr/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los precios y cantidades de unos productos.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el regalo del día de la madre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en el que faltan huecos – multiple choice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137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2020-10-20T08:00:00Z</dcterms:created>
  <dc:creator>Beatriz Sánchez Fernández</dc:creator>
  <dc:language>es-ES</dc:language>
  <dcterms:modified xsi:type="dcterms:W3CDTF">2021-09-28T20:33:26Z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