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26B6C">
              <w:rPr>
                <w:rFonts w:ascii="Arial Hebrew Scholar" w:hAnsi="Arial Hebrew Scholar" w:cs="Arial Hebrew Scholar"/>
                <w:b/>
                <w:szCs w:val="28"/>
              </w:rPr>
              <w:t>2020-21. 4º Primaria.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026B6C">
              <w:rPr>
                <w:rFonts w:ascii="Arial Hebrew Scholar" w:hAnsi="Arial Hebrew Scholar" w:cs="Arial Hebrew Scholar"/>
                <w:b/>
                <w:szCs w:val="28"/>
              </w:rPr>
              <w:t>Nº 7. La materia.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026B6C">
              <w:rPr>
                <w:rFonts w:ascii="Arial Hebrew Scholar" w:hAnsi="Arial Hebrew Scholar" w:cs="Arial Hebrew Scholar"/>
                <w:b/>
                <w:szCs w:val="28"/>
              </w:rPr>
              <w:t xml:space="preserve"> Primera quincena de abril.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8E1A84" w:rsidTr="00D43B84">
        <w:trPr>
          <w:trHeight w:val="688"/>
        </w:trPr>
        <w:tc>
          <w:tcPr>
            <w:tcW w:w="2063" w:type="dxa"/>
          </w:tcPr>
          <w:p w:rsidR="008E1A84" w:rsidRPr="00A6553B" w:rsidRDefault="008E1A84" w:rsidP="00896A9B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8E1A84" w:rsidRPr="00A6553B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Comunicación oral y escrita de información recabada de textos e imágenes simples para demostrar su comprensión.</w:t>
            </w:r>
          </w:p>
          <w:p w:rsidR="008E1A84" w:rsidRPr="00A6553B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8E1A84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del vocabulario 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adquirido en sus exposiciones y trabajos de clase.</w:t>
            </w:r>
          </w:p>
          <w:p w:rsidR="008E1A84" w:rsidRPr="00A6553B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8E1A84" w:rsidRPr="00A6553B" w:rsidRDefault="008E1A84" w:rsidP="00896A9B">
            <w:pPr>
              <w:pStyle w:val="Prrafodelista1"/>
              <w:numPr>
                <w:ilvl w:val="0"/>
                <w:numId w:val="12"/>
              </w:numPr>
              <w:suppressAutoHyphens w:val="0"/>
              <w:autoSpaceDN/>
              <w:spacing w:after="106" w:line="260" w:lineRule="exact"/>
              <w:ind w:left="284" w:hanging="284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2064" w:type="dxa"/>
            <w:gridSpan w:val="2"/>
          </w:tcPr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B1-1.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Realiza la tarea de forma mecánica sin comprender la finalidad y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e identifica mezclas</w:t>
            </w:r>
            <w:r w:rsidRPr="004F53A4">
              <w:rPr>
                <w:rFonts w:ascii="Arial" w:hAnsi="Arial" w:cs="Arial"/>
                <w:sz w:val="19"/>
                <w:szCs w:val="19"/>
              </w:rPr>
              <w:t xml:space="preserve"> siguiendo las fases de identificación del objetivo, planificación y elaboración. </w:t>
            </w:r>
          </w:p>
        </w:tc>
      </w:tr>
      <w:tr w:rsidR="008E1A84" w:rsidTr="00D43B84">
        <w:trPr>
          <w:trHeight w:val="688"/>
        </w:trPr>
        <w:tc>
          <w:tcPr>
            <w:tcW w:w="2063" w:type="dxa"/>
          </w:tcPr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La materia y sus propiedades.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La densidad y la flotabilidad. 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Los materiales y sus propiedades.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Los nuevos materiales y sus propiedades.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 xml:space="preserve">Reconocimiento </w:t>
            </w:r>
            <w:r w:rsidRPr="00185906">
              <w:rPr>
                <w:rFonts w:ascii="Arial" w:hAnsi="Arial" w:cs="Arial"/>
                <w:sz w:val="19"/>
                <w:szCs w:val="19"/>
              </w:rPr>
              <w:lastRenderedPageBreak/>
              <w:t>de las propiedades generales de la materia: masa y volumen.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Uso de unidades de medida y de estrategias para medir la masa y el volumen</w:t>
            </w:r>
            <w:r w:rsidRPr="00185906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Reconocimiento de las propiedades características de la materia.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Definición y cálculo de la densidad.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Explicación de la flotabilidad de los objetos relacionándolos con la densidad.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 xml:space="preserve">Relación de las características de </w:t>
            </w:r>
            <w:r w:rsidRPr="00185906">
              <w:rPr>
                <w:rFonts w:ascii="Arial" w:hAnsi="Arial" w:cs="Arial"/>
                <w:sz w:val="19"/>
                <w:szCs w:val="19"/>
              </w:rPr>
              <w:lastRenderedPageBreak/>
              <w:t>los materiales con sus usos.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Identificación de nuevos materiales y de sus características.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 xml:space="preserve">Reconocimiento de los nuevos materiales usados en medicina, en óptica y en tejidos con distintas características. 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 xml:space="preserve">Lectura y comprensión del texto </w:t>
            </w:r>
            <w:r w:rsidRPr="00185906">
              <w:rPr>
                <w:rFonts w:ascii="Arial" w:hAnsi="Arial" w:cs="Arial"/>
                <w:i/>
                <w:sz w:val="19"/>
                <w:szCs w:val="19"/>
              </w:rPr>
              <w:t>Charlie y la fábrica de chocolate</w:t>
            </w:r>
            <w:r w:rsidRPr="00185906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8E1A84" w:rsidRPr="00185906" w:rsidRDefault="008E1A84" w:rsidP="00896A9B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185906">
              <w:rPr>
                <w:rFonts w:ascii="Arial" w:hAnsi="Arial" w:cs="Arial"/>
                <w:sz w:val="19"/>
                <w:szCs w:val="19"/>
              </w:rPr>
              <w:t>Construcción de un submarino y explicación de su funcionamiento.</w:t>
            </w:r>
          </w:p>
        </w:tc>
        <w:tc>
          <w:tcPr>
            <w:tcW w:w="2064" w:type="dxa"/>
            <w:gridSpan w:val="2"/>
          </w:tcPr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-1.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4-2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14.</w:t>
            </w:r>
          </w:p>
          <w:p w:rsidR="008E1A84" w:rsidRDefault="008E1A8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15.</w:t>
            </w:r>
          </w:p>
          <w:p w:rsidR="008E1A84" w:rsidRPr="00A6553B" w:rsidRDefault="008E1A8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16.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debe seguir para la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realización de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la tarea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,los respeta y valora la necesidad de seguir ese orden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8E1A84" w:rsidTr="00D43B84">
        <w:trPr>
          <w:trHeight w:val="688"/>
        </w:trPr>
        <w:tc>
          <w:tcPr>
            <w:tcW w:w="2063" w:type="dxa"/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 resulta difícil explicar el funcionamiento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del submarino.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Explica el funcionamiento del submarino,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pero se olvida de realizar los dibujos explicativos.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Explica el funcionamiento del submarino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realizando los dibujos explicativos para detallar cómo está cuando se encuentra hundido y cuando flota.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Explica el funcionamiento del submarino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realizando los dibujos explicativos para detallar cómo está cuando se encuentra hundido y cuando flota, lo hace de manera clara y ordenada y utilizando el lenguaje adecuadamente.</w:t>
            </w:r>
          </w:p>
        </w:tc>
      </w:tr>
      <w:tr w:rsidR="008E1A84" w:rsidTr="00D43B84">
        <w:trPr>
          <w:trHeight w:val="688"/>
        </w:trPr>
        <w:tc>
          <w:tcPr>
            <w:tcW w:w="2063" w:type="dxa"/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F53A4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8E1A84" w:rsidTr="00A6037A">
        <w:trPr>
          <w:trHeight w:val="688"/>
        </w:trPr>
        <w:tc>
          <w:tcPr>
            <w:tcW w:w="2063" w:type="dxa"/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Realiza la tarea de forma mecánica sin comprender la finalidad y sin realizar una planificación previa.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e identifica mezclas</w:t>
            </w:r>
            <w:r w:rsidRPr="004F53A4">
              <w:rPr>
                <w:rFonts w:ascii="Arial" w:hAnsi="Arial" w:cs="Arial"/>
                <w:sz w:val="19"/>
                <w:szCs w:val="19"/>
              </w:rPr>
              <w:t xml:space="preserve"> siguiendo las fases de identificación del objetivo, planificación y elaboración. </w:t>
            </w:r>
          </w:p>
        </w:tc>
      </w:tr>
      <w:tr w:rsidR="008E1A84" w:rsidTr="00A6037A">
        <w:trPr>
          <w:trHeight w:val="688"/>
        </w:trPr>
        <w:tc>
          <w:tcPr>
            <w:tcW w:w="2063" w:type="dxa"/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debe seguir para la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realización de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la tarea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973480" w:rsidRDefault="008E1A8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,los respeta y valora la necesidad de seguir ese orden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8E1A84" w:rsidTr="00A6037A">
        <w:trPr>
          <w:trHeight w:val="688"/>
        </w:trPr>
        <w:tc>
          <w:tcPr>
            <w:tcW w:w="2063" w:type="dxa"/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resulta difícil explicar el funcionamiento del submarino.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Explica el funcionamiento del submarino, pero se olvida de realizar los dibujos explicativos.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el funcionamiento del submarino realizando los dibujos explicativos para detallar cómo está cuando se encuentra hundido y cuando flota.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Explica el funcionamiento del submarino realizando los dibujos explicativos para detallar cómo está cuando se encuentra hundido y cuando flota, lo hace de manera clara y ordenada y utilizando el lenguaje adecuadamente.</w:t>
            </w:r>
          </w:p>
        </w:tc>
      </w:tr>
      <w:tr w:rsidR="008E1A84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8E1A84" w:rsidRPr="00D43B84" w:rsidRDefault="008E1A8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8E1A84" w:rsidRPr="00D43B84" w:rsidRDefault="008E1A8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F53A4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8E1A84" w:rsidRPr="00A6553B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4F53A4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8E1A84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Le cuesta mantener la atención durante la lectura del texto.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 xml:space="preserve">Mantiene la atención durante la lectura del texto, pero necesita releerlo de nuevo y apoyarse en imágenes para comprenderlo.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Mantiene la atención durante la lectura del texto y comprende el contenido sin necesidad de volver a leerlo.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after="106"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Comprende el contenido del texto cuando lo lee por primera vez y no necesita volver a leerlo. Analiza el contenido y lo explica sin dificultad.</w:t>
            </w:r>
          </w:p>
        </w:tc>
        <w:bookmarkStart w:id="0" w:name="_GoBack"/>
        <w:bookmarkEnd w:id="0"/>
      </w:tr>
      <w:tr w:rsidR="008E1A84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Presenta dificultades para recordar los detalles del texto.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 xml:space="preserve">Recuerda algunos detalles del texto y le cuesta explicarlos.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Recuerda los detalles del texto cuando se le presentan opciones de respuesta.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Recuerda todos los detalles del texto y puede explicarlos sin dificultad.</w:t>
            </w:r>
          </w:p>
        </w:tc>
      </w:tr>
      <w:tr w:rsidR="008E1A84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ind w:firstLine="6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 xml:space="preserve">Le cuesta expresarse de forma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oral y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escrita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ind w:firstLine="6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Se esfuerza por expresarse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bien al responder las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preguntas,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pero utiliza un vocabulario pobre y poco preciso.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ind w:firstLine="6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Se expresa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correctamente al responder las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preguntas,utiliza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un vocabulario sencillo pero adecuado y hac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e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un uso correcto del lenguaje.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spacing w:line="260" w:lineRule="exact"/>
              <w:ind w:firstLine="6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Se expresa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correctamente y 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 xml:space="preserve">con claridad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en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sus producciones orales y escritas, </w:t>
            </w:r>
            <w:r w:rsidRPr="00A57812">
              <w:rPr>
                <w:rFonts w:ascii="Arial" w:hAnsi="Arial" w:cs="Arial"/>
                <w:sz w:val="19"/>
                <w:szCs w:val="19"/>
                <w:lang w:eastAsia="es-ES"/>
              </w:rPr>
              <w:t>emplea un vocabulario adecuado y utiliza un lenguaje elaborado y comprensible.</w:t>
            </w:r>
          </w:p>
        </w:tc>
      </w:tr>
      <w:tr w:rsidR="008E1A84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8E1A84" w:rsidRPr="00D43B84" w:rsidRDefault="008E1A8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Necesita apoyo y orientación para analizar el contenido del texto.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Recuerda y explica el contenido del texto sin hacer valoraciones.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>Explica el contenido del texto y lo relaciona con sus conocimientos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previos sobre el </w:t>
            </w:r>
            <w:r w:rsidRPr="00FF2219">
              <w:rPr>
                <w:rFonts w:ascii="Arial" w:hAnsi="Arial" w:cs="Arial"/>
                <w:sz w:val="19"/>
                <w:szCs w:val="19"/>
              </w:rPr>
              <w:t>tema.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8E1A84" w:rsidRPr="00A57812" w:rsidRDefault="008E1A84" w:rsidP="001A219A">
            <w:pPr>
              <w:pStyle w:val="Listavistosa-nfasis11"/>
              <w:spacing w:after="106" w:line="260" w:lineRule="exact"/>
              <w:ind w:left="0" w:firstLine="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7812">
              <w:rPr>
                <w:rFonts w:ascii="Arial" w:hAnsi="Arial" w:cs="Arial"/>
                <w:sz w:val="19"/>
                <w:szCs w:val="19"/>
              </w:rPr>
              <w:t xml:space="preserve">Comprende y reflexiona sobre el contenido del texto, relacionándolo con sus conocimientos previos sobre el tema y respondiendo </w:t>
            </w:r>
            <w:r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A57812">
              <w:rPr>
                <w:rFonts w:ascii="Arial" w:hAnsi="Arial" w:cs="Arial"/>
                <w:sz w:val="19"/>
                <w:szCs w:val="19"/>
              </w:rPr>
              <w:t>preguntas en las que incluye sus opiniones y las razona.</w:t>
            </w:r>
          </w:p>
        </w:tc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8D4A36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Actividades relacionadas con las propiedades de la materia.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8D4A36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Búsqueda de materiales que flotan en el agua y de los que no flotan.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8D4A36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Realizar lista de las propiedades de algunos materiales.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8D4A36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Buscar en internet las propiedades de determinados materiales.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lastRenderedPageBreak/>
              <w:t>CONTENIDOS TRANSVERSALES</w:t>
            </w:r>
          </w:p>
        </w:tc>
      </w:tr>
      <w:tr w:rsidR="00436650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436650" w:rsidRPr="00890497" w:rsidRDefault="00436650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436650" w:rsidRPr="00154206" w:rsidRDefault="00436650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Tiempo para leer: </w:t>
            </w:r>
            <w:r>
              <w:rPr>
                <w:rFonts w:cs="Arial"/>
                <w:i/>
                <w:kern w:val="0"/>
                <w:sz w:val="19"/>
                <w:szCs w:val="19"/>
              </w:rPr>
              <w:t>Charlie y la fábrica de chocolate</w:t>
            </w:r>
            <w:r>
              <w:rPr>
                <w:rFonts w:cs="Arial"/>
                <w:kern w:val="0"/>
                <w:sz w:val="19"/>
                <w:szCs w:val="19"/>
              </w:rPr>
              <w:t>(página 104).</w:t>
            </w:r>
          </w:p>
        </w:tc>
      </w:tr>
      <w:tr w:rsidR="00436650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436650" w:rsidRPr="00890497" w:rsidRDefault="00436650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436650" w:rsidRPr="004D571B" w:rsidRDefault="00436650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Expresión oral y escrita. </w:t>
            </w:r>
            <w:r w:rsidRPr="006E5F83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(página95). Observa y descubre (página 97). Analizar propiedades de materiales y sus usos (página 101).Inventar un nuevo material y describir sus propiedades y sus posibles usos (página 103). Comentar un texto (página 104). Construir un submarino y explicar su funcionamiento (página 105). Opinar sobre el uso del plástico y explicar lo que se debe hacer con los plásticos usados (página 107). Explicar la regla de las tres erres. Comentar el material usado en las radiografías (página 108).</w:t>
            </w:r>
          </w:p>
        </w:tc>
      </w:tr>
      <w:tr w:rsidR="00436650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436650" w:rsidRPr="00890497" w:rsidRDefault="00436650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35D75">
              <w:rPr>
                <w:rFonts w:cs="Arial"/>
                <w:sz w:val="19"/>
                <w:szCs w:val="19"/>
              </w:rPr>
              <w:t xml:space="preserve">LibroMedia de Ciencias de la Naturaleza </w:t>
            </w:r>
            <w:r>
              <w:rPr>
                <w:rFonts w:cs="Arial"/>
                <w:sz w:val="19"/>
                <w:szCs w:val="19"/>
              </w:rPr>
              <w:t>de 4</w:t>
            </w:r>
            <w:r w:rsidRPr="00E35D75">
              <w:rPr>
                <w:rFonts w:cs="Arial"/>
                <w:sz w:val="19"/>
                <w:szCs w:val="19"/>
              </w:rPr>
              <w:t>.º. Actividades y recursos correspondientes a la unidad.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436650" w:rsidRPr="004D571B" w:rsidRDefault="00436650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Comunicación audiovisual. </w:t>
            </w:r>
            <w:r w:rsidRPr="00371591">
              <w:rPr>
                <w:rFonts w:cs="Arial"/>
                <w:sz w:val="19"/>
                <w:szCs w:val="19"/>
              </w:rPr>
              <w:t xml:space="preserve">Imágenes </w:t>
            </w:r>
            <w:r>
              <w:rPr>
                <w:rFonts w:cs="Arial"/>
                <w:sz w:val="19"/>
                <w:szCs w:val="19"/>
              </w:rPr>
              <w:t xml:space="preserve">de la unidad. </w:t>
            </w:r>
            <w:r w:rsidRPr="006E5F83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 95). Observa y descubre (página 97). Construir un submarino (página 105). Mapa mental (página 106). Uso de tablas (página 107). Comentar una radiografía (página 108).</w:t>
            </w:r>
          </w:p>
        </w:tc>
      </w:tr>
      <w:tr w:rsidR="00436650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436650" w:rsidRPr="00890497" w:rsidRDefault="00436650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436650" w:rsidRPr="004D571B" w:rsidRDefault="00436650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>Emprendimiento</w:t>
            </w:r>
            <w:r w:rsidRPr="004D571B">
              <w:rPr>
                <w:rFonts w:cs="Arial"/>
                <w:b/>
                <w:i/>
                <w:kern w:val="0"/>
                <w:sz w:val="19"/>
                <w:szCs w:val="19"/>
              </w:rPr>
              <w:t xml:space="preserve">. </w:t>
            </w:r>
            <w:r>
              <w:rPr>
                <w:rFonts w:cs="Arial"/>
                <w:kern w:val="0"/>
                <w:sz w:val="19"/>
                <w:szCs w:val="19"/>
              </w:rPr>
              <w:t>Construir un submarino y explicar su funcionamiento (página 105).</w:t>
            </w:r>
          </w:p>
        </w:tc>
      </w:tr>
      <w:tr w:rsidR="00436650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436650" w:rsidRPr="00890497" w:rsidRDefault="00436650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436650" w:rsidRPr="004D571B" w:rsidRDefault="00436650" w:rsidP="001A219A">
            <w:pPr>
              <w:pStyle w:val="Lista"/>
              <w:spacing w:before="0" w:after="106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kern w:val="0"/>
                <w:sz w:val="19"/>
                <w:szCs w:val="19"/>
              </w:rPr>
              <w:t>El reciclaje. La regla de las tres erres.</w:t>
            </w: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lastRenderedPageBreak/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</w:tbl>
    <w:p w:rsidR="00196BEE" w:rsidRDefault="00196BEE" w:rsidP="00EB14A2"/>
    <w:p w:rsidR="00196BEE" w:rsidRDefault="00196BEE" w:rsidP="00196BEE">
      <w:pPr>
        <w:rPr>
          <w:rFonts w:ascii="Arial" w:hAnsi="Arial" w:cs="Arial"/>
          <w:b/>
          <w:color w:val="00993B"/>
          <w:sz w:val="19"/>
          <w:szCs w:val="19"/>
        </w:rPr>
      </w:pPr>
      <w:r w:rsidRPr="00A6553B">
        <w:rPr>
          <w:rFonts w:ascii="Arial" w:hAnsi="Arial" w:cs="Arial"/>
          <w:b/>
          <w:color w:val="00993B"/>
          <w:sz w:val="19"/>
          <w:szCs w:val="19"/>
        </w:rPr>
        <w:t xml:space="preserve">BLOQUE </w:t>
      </w:r>
      <w:r>
        <w:rPr>
          <w:rFonts w:ascii="Arial" w:hAnsi="Arial" w:cs="Arial"/>
          <w:b/>
          <w:color w:val="00993B"/>
          <w:sz w:val="19"/>
          <w:szCs w:val="19"/>
        </w:rPr>
        <w:t>4</w:t>
      </w:r>
      <w:r w:rsidRPr="00A6553B">
        <w:rPr>
          <w:rFonts w:ascii="Arial" w:hAnsi="Arial" w:cs="Arial"/>
          <w:b/>
          <w:color w:val="00993B"/>
          <w:sz w:val="19"/>
          <w:szCs w:val="19"/>
        </w:rPr>
        <w:t xml:space="preserve">. </w:t>
      </w:r>
      <w:r>
        <w:rPr>
          <w:rFonts w:ascii="Arial" w:hAnsi="Arial" w:cs="Arial"/>
          <w:b/>
          <w:color w:val="00993B"/>
          <w:sz w:val="19"/>
          <w:szCs w:val="19"/>
        </w:rPr>
        <w:t>MATERIA Y ENERGÍA. TECNOLOGÍA, OBJETOS Y MÁQUINAS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196BEE" w:rsidRPr="00450CE7" w:rsidTr="001A219A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196BEE" w:rsidRPr="00450CE7" w:rsidRDefault="00196BEE" w:rsidP="001A219A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196BEE" w:rsidRPr="00450CE7" w:rsidRDefault="00196BEE" w:rsidP="001A219A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DE LA COMUNIDAD DE MADRID, 4.º CURSO</w:t>
            </w:r>
          </w:p>
        </w:tc>
      </w:tr>
      <w:tr w:rsidR="00196BEE" w:rsidRPr="00B503DB" w:rsidTr="001A219A">
        <w:tc>
          <w:tcPr>
            <w:tcW w:w="2383" w:type="pct"/>
            <w:tcBorders>
              <w:top w:val="single" w:sz="4" w:space="0" w:color="auto"/>
            </w:tcBorders>
          </w:tcPr>
          <w:p w:rsidR="00196BEE" w:rsidRPr="00E512A7" w:rsidRDefault="00196BEE" w:rsidP="001A219A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B503D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E512A7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F762A4">
              <w:rPr>
                <w:rFonts w:ascii="Arial" w:eastAsia="Arial Unicode MS" w:hAnsi="Arial" w:cs="Arial"/>
                <w:sz w:val="19"/>
                <w:szCs w:val="19"/>
              </w:rPr>
              <w:t>Estudi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 xml:space="preserve">ar </w:t>
            </w:r>
            <w:r w:rsidRPr="00F762A4">
              <w:rPr>
                <w:rFonts w:ascii="Arial" w:eastAsia="Arial Unicode MS" w:hAnsi="Arial" w:cs="Arial"/>
                <w:sz w:val="19"/>
                <w:szCs w:val="19"/>
              </w:rPr>
              <w:t>y clasifica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>r</w:t>
            </w:r>
            <w:r w:rsidRPr="00F762A4">
              <w:rPr>
                <w:rFonts w:ascii="Arial" w:eastAsia="Arial Unicode MS" w:hAnsi="Arial" w:cs="Arial"/>
                <w:sz w:val="19"/>
                <w:szCs w:val="19"/>
              </w:rPr>
              <w:t xml:space="preserve"> materiales</w:t>
            </w:r>
            <w:r>
              <w:rPr>
                <w:rFonts w:ascii="Arial" w:eastAsia="Arial Unicode MS" w:hAnsi="Arial" w:cs="Arial"/>
                <w:sz w:val="19"/>
                <w:szCs w:val="19"/>
              </w:rPr>
              <w:t xml:space="preserve"> por sus propiedades</w:t>
            </w:r>
            <w:r w:rsidRPr="00E512A7">
              <w:rPr>
                <w:rFonts w:ascii="Arial" w:eastAsia="MS Mincho" w:hAnsi="Arial" w:cs="Arial"/>
                <w:color w:val="000000"/>
                <w:sz w:val="19"/>
                <w:szCs w:val="19"/>
              </w:rPr>
              <w:t>.</w:t>
            </w:r>
            <w:r w:rsidRPr="00E512A7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196BEE" w:rsidRPr="00E73FEB" w:rsidRDefault="00196BEE" w:rsidP="001A219A">
            <w:pPr>
              <w:spacing w:after="12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0642E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14.</w:t>
            </w:r>
            <w:r w:rsidRPr="0080642E">
              <w:rPr>
                <w:rFonts w:ascii="Arial" w:hAnsi="Arial" w:cs="Arial"/>
                <w:color w:val="1A1718"/>
                <w:sz w:val="19"/>
                <w:szCs w:val="19"/>
              </w:rPr>
              <w:t xml:space="preserve"> Observa, identifica, describe y clasifica algunos materiales por sus propiedades (dureza, solubilidad, estado de agregación y conductividad térmica).</w:t>
            </w:r>
          </w:p>
        </w:tc>
      </w:tr>
      <w:tr w:rsidR="00196BEE" w:rsidRPr="00B503DB" w:rsidTr="001A219A">
        <w:trPr>
          <w:trHeight w:val="306"/>
        </w:trPr>
        <w:tc>
          <w:tcPr>
            <w:tcW w:w="2383" w:type="pct"/>
            <w:vMerge w:val="restart"/>
          </w:tcPr>
          <w:p w:rsidR="00196BEE" w:rsidRPr="00E512A7" w:rsidRDefault="00196BEE" w:rsidP="001A219A">
            <w:pPr>
              <w:spacing w:after="12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80642E">
              <w:rPr>
                <w:rFonts w:ascii="Arial" w:hAnsi="Arial" w:cs="Arial"/>
                <w:color w:val="000000"/>
                <w:sz w:val="19"/>
                <w:szCs w:val="19"/>
              </w:rPr>
              <w:t>Conocer los procedimientos para la medida de la masa, el volumen, la densidad de un cuerpo.</w:t>
            </w:r>
            <w:r w:rsidRPr="0080642E">
              <w:rPr>
                <w:rFonts w:ascii="MS Mincho" w:eastAsia="MS Mincho" w:hAnsi="MS Mincho" w:cs="MS Mincho"/>
                <w:color w:val="000000"/>
                <w:sz w:val="19"/>
                <w:szCs w:val="19"/>
              </w:rPr>
              <w:t> </w:t>
            </w:r>
          </w:p>
        </w:tc>
        <w:tc>
          <w:tcPr>
            <w:tcW w:w="2617" w:type="pct"/>
          </w:tcPr>
          <w:p w:rsidR="00196BEE" w:rsidRPr="0080642E" w:rsidRDefault="00196BEE" w:rsidP="001A219A">
            <w:pPr>
              <w:spacing w:after="12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0642E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15.</w:t>
            </w:r>
            <w:r w:rsidRPr="0080642E">
              <w:rPr>
                <w:rFonts w:ascii="Arial" w:hAnsi="Arial" w:cs="Arial"/>
                <w:color w:val="1A1718"/>
                <w:sz w:val="19"/>
                <w:szCs w:val="19"/>
              </w:rPr>
              <w:t xml:space="preserve"> Utiliza diferentes procedimientos para la medida del peso de un cuerpo.</w:t>
            </w:r>
          </w:p>
        </w:tc>
      </w:tr>
      <w:tr w:rsidR="00196BEE" w:rsidRPr="00B503DB" w:rsidTr="001A219A">
        <w:trPr>
          <w:trHeight w:val="687"/>
        </w:trPr>
        <w:tc>
          <w:tcPr>
            <w:tcW w:w="2383" w:type="pct"/>
            <w:vMerge/>
          </w:tcPr>
          <w:p w:rsidR="00196BEE" w:rsidRPr="00A6553B" w:rsidRDefault="00196BEE" w:rsidP="001A219A">
            <w:pPr>
              <w:spacing w:after="120" w:line="28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</w:p>
        </w:tc>
        <w:tc>
          <w:tcPr>
            <w:tcW w:w="2617" w:type="pct"/>
          </w:tcPr>
          <w:p w:rsidR="00196BEE" w:rsidRPr="0080642E" w:rsidRDefault="00196BEE" w:rsidP="001A219A">
            <w:pPr>
              <w:spacing w:after="12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0642E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16.</w:t>
            </w:r>
            <w:r w:rsidRPr="0080642E">
              <w:rPr>
                <w:rFonts w:ascii="Arial" w:hAnsi="Arial" w:cs="Arial"/>
                <w:color w:val="1A1718"/>
                <w:sz w:val="19"/>
                <w:szCs w:val="19"/>
              </w:rPr>
              <w:t xml:space="preserve"> Identifica y explica las principales características de la flotabilidad en un medio líquido.</w:t>
            </w:r>
          </w:p>
        </w:tc>
      </w:tr>
    </w:tbl>
    <w:p w:rsidR="00EB14A2" w:rsidRDefault="00EB14A2" w:rsidP="00EB14A2">
      <w:r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5BCA"/>
    <w:multiLevelType w:val="hybridMultilevel"/>
    <w:tmpl w:val="07D83470"/>
    <w:lvl w:ilvl="0" w:tplc="30CE9F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6B6C"/>
    <w:rsid w:val="00027EAA"/>
    <w:rsid w:val="0004320B"/>
    <w:rsid w:val="00097F47"/>
    <w:rsid w:val="000D2BFE"/>
    <w:rsid w:val="00142E80"/>
    <w:rsid w:val="00175063"/>
    <w:rsid w:val="00196BEE"/>
    <w:rsid w:val="001A5247"/>
    <w:rsid w:val="0024707D"/>
    <w:rsid w:val="00265648"/>
    <w:rsid w:val="003116B4"/>
    <w:rsid w:val="003265C8"/>
    <w:rsid w:val="00356438"/>
    <w:rsid w:val="00371409"/>
    <w:rsid w:val="003968C8"/>
    <w:rsid w:val="003A5F97"/>
    <w:rsid w:val="003B5BE3"/>
    <w:rsid w:val="003D7A79"/>
    <w:rsid w:val="00436650"/>
    <w:rsid w:val="00450FD2"/>
    <w:rsid w:val="004F5D5F"/>
    <w:rsid w:val="00620962"/>
    <w:rsid w:val="00631EA5"/>
    <w:rsid w:val="0064378C"/>
    <w:rsid w:val="00670B50"/>
    <w:rsid w:val="00675C81"/>
    <w:rsid w:val="006C339B"/>
    <w:rsid w:val="006C5A4C"/>
    <w:rsid w:val="006C6C59"/>
    <w:rsid w:val="00705CB1"/>
    <w:rsid w:val="00806A26"/>
    <w:rsid w:val="0080735B"/>
    <w:rsid w:val="00890497"/>
    <w:rsid w:val="00896A9B"/>
    <w:rsid w:val="008D097E"/>
    <w:rsid w:val="008D4A36"/>
    <w:rsid w:val="008E1A84"/>
    <w:rsid w:val="00917495"/>
    <w:rsid w:val="00932507"/>
    <w:rsid w:val="00946943"/>
    <w:rsid w:val="009A5DF3"/>
    <w:rsid w:val="009C0468"/>
    <w:rsid w:val="009E2D91"/>
    <w:rsid w:val="009F1D6B"/>
    <w:rsid w:val="009F237A"/>
    <w:rsid w:val="009F5228"/>
    <w:rsid w:val="00A46DE6"/>
    <w:rsid w:val="00A6037A"/>
    <w:rsid w:val="00AA4BE2"/>
    <w:rsid w:val="00AD45BE"/>
    <w:rsid w:val="00B72254"/>
    <w:rsid w:val="00D23D5B"/>
    <w:rsid w:val="00D27A2F"/>
    <w:rsid w:val="00D43B84"/>
    <w:rsid w:val="00DA31DF"/>
    <w:rsid w:val="00DB5FFD"/>
    <w:rsid w:val="00DD0C51"/>
    <w:rsid w:val="00E23BB3"/>
    <w:rsid w:val="00EB14A2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896A9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2518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2020-10-20T08:12:00Z</dcterms:created>
  <dcterms:modified xsi:type="dcterms:W3CDTF">2020-10-20T08:12:00Z</dcterms:modified>
</cp:coreProperties>
</file>