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widowControl w:val="0"/>
        <w:spacing w:after="0"/>
      </w:pPr>
    </w:p>
    <w:tbl>
      <w:tblPr>
        <w:tblW w:w="153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6"/>
        <w:gridCol w:w="1140"/>
        <w:gridCol w:w="1258"/>
        <w:gridCol w:w="256"/>
        <w:gridCol w:w="1855"/>
        <w:gridCol w:w="2073"/>
        <w:gridCol w:w="2073"/>
        <w:gridCol w:w="2073"/>
        <w:gridCol w:w="2073"/>
        <w:gridCol w:w="2073"/>
      </w:tblGrid>
      <w:tr>
        <w:tblPrEx>
          <w:shd w:val="clear" w:color="auto" w:fill="d0ddef"/>
        </w:tblPrEx>
        <w:trPr>
          <w:trHeight w:val="533" w:hRule="atLeast"/>
        </w:trPr>
        <w:tc>
          <w:tcPr>
            <w:tcW w:type="dxa" w:w="1606"/>
            <w:gridSpan w:val="2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REA: Ingl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3368"/>
            <w:gridSpan w:val="3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 Topic 4</w:t>
            </w:r>
          </w:p>
        </w:tc>
        <w:tc>
          <w:tcPr>
            <w:tcW w:type="dxa" w:w="10364"/>
            <w:gridSpan w:val="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18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N: 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1-15 DICIEMBRE</w:t>
            </w:r>
          </w:p>
        </w:tc>
      </w:tr>
      <w:tr>
        <w:tblPrEx>
          <w:shd w:val="clear" w:color="auto" w:fill="d0ddef"/>
        </w:tblPrEx>
        <w:trPr>
          <w:trHeight w:val="405" w:hRule="atLeast"/>
        </w:trPr>
        <w:tc>
          <w:tcPr>
            <w:tcW w:type="dxa" w:w="466"/>
            <w:vMerge w:val="restart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Bloques</w:t>
            </w:r>
          </w:p>
        </w:tc>
        <w:tc>
          <w:tcPr>
            <w:tcW w:type="dxa" w:w="239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CONTENIDOS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CRITERIOS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vMerge w:val="restart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NDARES APRENDIZAJE</w:t>
            </w:r>
          </w:p>
        </w:tc>
        <w:tc>
          <w:tcPr>
            <w:tcW w:type="dxa" w:w="8291"/>
            <w:gridSpan w:val="4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NIVELES DE ADQUISICI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16" w:hRule="atLeast"/>
        </w:trPr>
        <w:tc>
          <w:tcPr>
            <w:tcW w:type="dxa" w:w="466"/>
            <w:vMerge w:val="continue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vMerge w:val="continue"/>
            <w:tcBorders>
              <w:top w:val="single" w:color="8064a2" w:sz="1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12" w:space="0" w:shadow="0" w:frame="0"/>
            </w:tcBorders>
            <w:shd w:val="clear" w:color="auto" w:fill="dfd8e8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12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EN V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AS DE ADQUISICI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ADQUIRIDO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AVANZADO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24" w:space="0" w:shadow="0" w:frame="0"/>
            </w:tcBorders>
            <w:shd w:val="clear" w:color="auto" w:fill="e0d8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0"/>
                <w:szCs w:val="20"/>
                <w:shd w:val="nil" w:color="auto" w:fill="auto"/>
                <w:rtl w:val="0"/>
                <w:lang w:val="es-ES_tradnl"/>
              </w:rPr>
              <w:t>EXCELENTE</w:t>
            </w:r>
          </w:p>
        </w:tc>
      </w:tr>
      <w:tr>
        <w:tblPrEx>
          <w:shd w:val="clear" w:color="auto" w:fill="d0ddef"/>
        </w:tblPrEx>
        <w:trPr>
          <w:trHeight w:val="2691" w:hRule="atLeast"/>
        </w:trPr>
        <w:tc>
          <w:tcPr>
            <w:tcW w:type="dxa" w:w="466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239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identificar vocabulario y gram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 el contexto; captar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y/o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diversas fuentes: un di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logo sobre deberes, una canci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libros, un poema e identificar el sonido largo de la vocal e,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qu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le gusta leer a una persona.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Capta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Capta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textos orales variados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>No capta el sentido general de anuncios publicitarios sencillos sobre productos que le interesan.</w:t>
            </w:r>
            <w:r>
              <w:rPr>
                <w:sz w:val="18"/>
                <w:szCs w:val="18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algunos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spacing w:after="0" w:line="240" w:lineRule="auto"/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Capta el sentido general y los detalles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 de anuncios publicitarios sencillos sobre productos que le interesan.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1080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pedir 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comunicativa principal del texto,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Entiende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que se dice en transacciones habituales sencillas.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 entiende lo que se le dice en transacciones habituales sencillas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habitualmente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Entiende siempre lo que se le dice en transacciones habituales sencillas.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60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800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continuous / past simple: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was snowing when she looked out of the window. She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singing when Scrooge opened the door.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dancing when they looked in the window.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simple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wh-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questions: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Who did he invite into his hut? Who was Quentin Blake? What kind of pencil did he use? Which objects, did he have in his hut.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utilizar and, but, because, so.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oral.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Identifica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estructuras trabajadas en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sobre temas conocidos.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con mucha dificultad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y predecible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8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sencilla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nil"/>
              <w:right w:val="single" w:color="8064a2" w:sz="24" w:space="0" w:shadow="0" w:frame="0"/>
            </w:tcBorders>
            <w:shd w:val="clear" w:color="auto" w:fill="d0dde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Identifica el tema de una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tiene lugar en su presencia en alg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espacio p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blico real o simulado sobre temas conocidos.</w:t>
            </w:r>
          </w:p>
        </w:tc>
      </w:tr>
      <w:tr>
        <w:tblPrEx>
          <w:shd w:val="clear" w:color="auto" w:fill="d0ddef"/>
        </w:tblPrEx>
        <w:trPr>
          <w:trHeight w:val="3652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Identificar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los puntos principales en textos orales muy breves y sencillos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ndar, con estructuras simples y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uso muy frecuente sobre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orales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cter informativo y es capaz de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extraer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global y algunos datos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ficos.sobre escritores, sus obras y cuentos tradicionales.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nil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3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Adjetivos que describen gente: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(generous, poor, lonely, sociable, cheerful, hard-working, caring, mean, miserable, intelligent, worried, energetic).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Tipos de libros: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(spy novel, graphic novel, science fiction novel, play, ghost story, annual, manual, atlas, joke book, poetry book, recipe book, craft book).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Roald Dahl: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hut, writing board, electric fire, ceiling, sleeping bag, illustrator.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Cuentos tradicionales: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(fingernails, moral, cruel, original, Sky-God, python, leopard, hornet, dwarf).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Reconocer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oral de alta frecuencia relativo a situaciones cotidianas y temas habituales y concretos, y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las indicaciones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para hacerse una idea de los significados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Distingue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los cambios de tema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programas de televisi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u otro material audiovisual dentro de su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 de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sentido general de una historia (DVD) sobre el tema de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500" w:hRule="atLeast"/>
        </w:trPr>
        <w:tc>
          <w:tcPr>
            <w:tcW w:type="dxa" w:w="466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239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la fluidez y la precisi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n: describir gente utilizando adjetivos, hablar sobre diferentes tipos de libros.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orales monol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o dial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gicos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 presentaciones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breves y sencillas, previamente preparadas y ensayadas, sobre temas cotidianos o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Realiza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producciones orales sobre los personajes de un cuento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de forma inconstante y con dificultad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y a menudo muestra dificultades para respetar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o para mostrar respeto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 aunque se le indique.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Raramente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aunque sean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y de forma guiada para facilitar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la expresi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(interacci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n) 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Participa, siguiendo un modelo dado, en interacciones orales muy breves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entorno, respetando en ocasiones, si se le indica,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 una actitud respetuosa ante las producciones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personas, con las indicaciones y apoyo del profesor.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cierta frecuencia usa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con iniciativa y cierta fluidez en interacciones orales muy sencillas y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o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y respeta habitualmente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stico, mostrando, en la mayor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de los casos,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personas.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Hace un uso frecuente de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Participa activamente y con soltura en interacciones orales dirigidas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su entorno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predecibles  y respeta siempre las normas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del intercambio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 trabajadas en el aula, mostrando por iniciativa propia una actitud respetuosa ante las producciones propias y de las dem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 personas.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Usa correctamente y de manera general los elementos y recursos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y paraling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sticos trabajados en clase.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2417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  hablar sobre eventos cortos que sucedieron en medio de un evento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grande 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Milly was painting when the bell rang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.) y hacer preguntas sobre el pasado.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Interactuar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muy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sica, utilizando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cnicas muy simples,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sticas o no verbales para iniciar, mantener o concluir una breve conversaci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adecuadamente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Responde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 las preguntas de un compa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ero en situaciones comunicativas.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65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 manera simple y comprensible en conversaciones muy breves que requieran un intercambio directo de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en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reas de necesidad inmediata o sobre temas muy familiares, en un registro neutro o informal, utilizando expresiones y frases sencillas y de uso muy frecuente.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Participa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conversaciones cara a cara o por medios 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cnicos en las que  se intercambia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personal y sobre asuntos cotidianos, se expresan sentimientos, se ofrece algo a alguien, se pide prestado algo.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el lenguaje oral en situaciones comunicativas en el aula.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breves creaciones con aspectos sonoros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en situaciones de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muy concretas de forma dirigida siguiendo un modelo y con ayuda.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Realiza creaciones orales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sicas con ayuda si la solicita, incluyendo aspectos sonoros,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modelos dados y familiares con apoyo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auditivo, reconociendo y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reproduciendo, con cierta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que no impida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n,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realizaciones ling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üí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sticas propias de la lengua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extranjera.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orales, con cierta autonom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a, incluyendo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n de forma bastante adecuada a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7030a0" w:sz="8" w:space="0" w:shadow="0" w:frame="0"/>
              <w:bottom w:val="single" w:color="7030a0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Realiza creaciones orales de forma aut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noma y espont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nea con aspectos sonoros, de ritmo, acentuaci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y de entonaci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adecuados</w:t>
            </w:r>
            <w:r>
              <w:rPr>
                <w:rStyle w:val="Ninguno"/>
                <w:sz w:val="18"/>
                <w:szCs w:val="18"/>
                <w:rtl w:val="0"/>
                <w:lang w:val="es-ES_tradnl"/>
              </w:rPr>
              <w:t xml:space="preserve">a distintos contextos </w:t>
            </w:r>
          </w:p>
          <w:p>
            <w:pPr>
              <w:pStyle w:val="Cuerpo"/>
              <w:tabs>
                <w:tab w:val="left" w:pos="708"/>
                <w:tab w:val="left" w:pos="1416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comunicativos</w:t>
            </w:r>
          </w:p>
        </w:tc>
      </w:tr>
      <w:tr>
        <w:tblPrEx>
          <w:shd w:val="clear" w:color="auto" w:fill="d0ddef"/>
        </w:tblPrEx>
        <w:trPr>
          <w:trHeight w:val="1930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Hacerse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Se hace entender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en intervenciones breves y sencillas, aunque se produzcan titubeos, vacilaciones, repeticiones o pausas para reorganizar el discurso .</w:t>
            </w:r>
          </w:p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84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continuous / past simple: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was snowing when she looked out of the window. She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singing when Scrooge opened the door.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dancing when they looked in the window.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simple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wh-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questions: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Who did he invite into his hut? Who was Quentin Blake? What kind of pencil did he use? Which objects, did he have in his hut.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utilizar and, but, because, so.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permitiendo algunos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3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Adjetivos que describen gente: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(generous, poor, lonely, sociable, cheerful, hard-working, caring, mean, miserable, intelligent, worried, energetic).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Tipos de libros: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(spy novel, graphic novel, science fiction novel, play, ghost story, annual, manual, atlas, joke book, poetry book, recipe book, craft book).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Roald Dahl: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hut, writing board, electric fire, ceiling, sleeping bag, illustrator).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Cuentos tradicionales: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(fingernails, moral, cruel, original, Sky-God, python, leopard, hornet, dwarf).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Conoce y utiliza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oral de alta frecuencia relativo a situaciones cotidianas y temas habituales y concretos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Conoce y utiliza el vocabulario seleccionado para la unidad.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437" w:hRule="atLeast"/>
        </w:trPr>
        <w:tc>
          <w:tcPr>
            <w:tcW w:type="dxa" w:w="466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239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comprensi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desarrollar habilidades intensivas y extensas de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diferentes tipos de textos: una biograf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a, el resumen de una historia, un texto cross-curricular sobre  Roald Dahl,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literaria.</w:t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15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 saber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adecuadas para la comprensi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del sentido general,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o los puntos principales del texto.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ind w:left="15" w:firstLine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localiza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material informativo sencillo.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 e identifica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esencial y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de textos sobre escritores y sus obras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95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671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ind w:left="360" w:firstLine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el tipo de literatura que le gusta a una persona.</w:t>
            </w:r>
          </w:p>
        </w:tc>
        <w:tc>
          <w:tcPr>
            <w:tcW w:type="dxa" w:w="256"/>
            <w:vMerge w:val="restart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Identificar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tema, el sentido general, las ideas principales e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espec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 en textos, tanto en formato impreso como en soporte digital, en lengua est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ndar y con un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 esencial de historias breves y bien estructuradas siempre y cuando la imagen y la acci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conduzcan gran parte del argumento.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Comprende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el sentido general de los textos que aparecen en el tema.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42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56"/>
            <w:vMerge w:val="continue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Distinguir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 funci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o funciones comunicativas principales del texto y un repertorio limitado de sus exponentes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habituales, 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como los patrones discursivos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Comprende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lo esencial de noticias breves y art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culos de revistas infantiles que traten temas que le sean familiares o sean de su inter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Comprende lo esencial de un texto sobre el tipo de literatura que le gusta a una persona.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84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continuous / past simple: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was snowing when she looked out of the window. She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singing when Scrooge opened the door.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dancing when they looked in the window.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simple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wh-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questions: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Who did he invite into his hut? Who was Quentin Blake? What kind of pencil did he use? Which objects, did he have in his hut.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utilizar and, but, because, so.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los significados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comunes asociados a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propias de la comunicaci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escrita.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3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Adjetivos que describen gente: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(generous, poor, lonely, sociable, cheerful, hard-working, caring, mean, miserable, intelligent, worried, energetic).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Tipos de libros: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(spy novel, graphic novel, science fiction novel, play, ghost story, annual, manual, atlas, joke book, poetry book, recipe book, craft book).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Roald Dahl: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hut, writing board, electric fire, ceiling, sleeping bag, illustrator).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Cuentos tradicionales: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(fingernails, moral, cruel, original, Sky-God, python, leopard, hornet, dwarf).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SCS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concretos, e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inferir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texto los significados probables de palabras y expresiones que se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Reconoce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xico escrito de alta frecuencia relativo a situaciones cotidianas y temas habituales y concretos 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Infiere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del contexto y de la informaci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contenida en el  texto los significados probables de palabras y expresiones que se desconocen.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Reconoce el vocabulario utilizado en la unidad e infiere del contexto el significado de otras palabras que desconocen.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7843" w:hRule="atLeast"/>
        </w:trPr>
        <w:tc>
          <w:tcPr>
            <w:tcW w:type="dxa" w:w="466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2398"/>
            <w:gridSpan w:val="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Estrategias de producci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componer textos propios, progresivamente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extensos y ricos en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y estructuras: identificar y escribir adjetivos para describir personas, palabras relacionadas con diferentes tipos de libro, un escrito sobre un escritor famoso del pa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s,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a una historia, una entrada a una enciclopedia, una cr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literaria.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aplicar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las estrategias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para producir textos escritos muy breves y sencillos.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con un modelo correspondencia personal breve y simple en la que da las gracias, felicita a alguien, hace una invitaci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o habla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 y de su entorno inmediato.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- 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una rese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a sobre un libro.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sencillos reproduciendo estructuras y/o andamiajes previamente trabajados.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narrativos sobre el tema trabajado en la unidad.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Escribe,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bas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ndose en un modelo, textos breves de car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cter informativo sobre temas trabajados previamente.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Escribe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textos sencillos basados en el tema de la unidad.</w:t>
            </w:r>
          </w:p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833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Funciones comunicativas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: preparar una presentaci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sobre el tipo de literatura que le gusta al alumno.</w:t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Construir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,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Construye,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en papel o en soporte electr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nico, textos muy cortos y sencillos, compuestos de frases simples aisladas, en un registro neutro o informal, utilizando con razonable correcci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convenciones ortogr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ficas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 y los principales signos de puntuaci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n, para hablar de 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í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mismo, de su entorno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inmediato y de aspectos de su vida cotidiana.</w:t>
            </w:r>
          </w:p>
          <w:p>
            <w:pPr>
              <w:pStyle w:val="Cuerpo"/>
              <w:bidi w:val="0"/>
              <w:spacing w:after="24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Elaborar un texto sobre el tipo de literatura que le gusta.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184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Estructuras sint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cticas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continuous / past simple: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It was snowing when she looked out of the window. She wasn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singing when Scrooge opened the door. They weren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t dancing when they looked in the window.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Past simple with 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wh-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questions: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Who did he invite into his hut? Who was Quentin Blake? What kind of pencil did he use? Which objects, did he have in his hut.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Language focus:</w:t>
            </w:r>
            <w:r>
              <w:rPr>
                <w:rStyle w:val="Ninguno"/>
                <w:b w:val="1"/>
                <w:bCs w:val="1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utilizar and, but, because, so.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CL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Maneja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sicas, aunque se sigan cometiendo errores b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sicos de manera sistem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tica en, p. e., tiempos verbales o en la concordancia.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- Elabora frases utilizando las estructuras sint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cticas trabajadas en la unidad, aunque con errores.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419" w:hRule="atLeast"/>
        </w:trPr>
        <w:tc>
          <w:tcPr>
            <w:tcW w:type="dxa" w:w="466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nil"/>
              <w:right w:val="single" w:color="8064a2" w:sz="8" w:space="0" w:shadow="0" w:frame="0"/>
            </w:tcBorders>
            <w:shd w:val="clear" w:color="auto" w:fill="dfd8e8"/>
          </w:tcPr>
          <w:p/>
        </w:tc>
        <w:tc>
          <w:tcPr>
            <w:tcW w:type="dxa" w:w="2398"/>
            <w:gridSpan w:val="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>xico de alta frecuencia relativo a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: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Adjetivos que describen gente: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(generous, poor, lonely, sociable, cheerful, hard-working, caring, mean, miserable, intelligent, worried, energetic).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Tipos de libros: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(spy novel, graphic novel, science fiction novel, play, ghost story, annual, manual, atlas, joke book, poetry book, recipe book, craft book).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Roald Dahl: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n-US"/>
              </w:rPr>
              <w:t>hut, writing board, electric fire, ceiling, sleeping bag, illustrator).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Cuentos tradicionales: </w:t>
            </w:r>
            <w:r>
              <w:rPr>
                <w:rStyle w:val="Ninguno"/>
                <w:i w:val="1"/>
                <w:iCs w:val="1"/>
                <w:sz w:val="18"/>
                <w:szCs w:val="18"/>
                <w:shd w:val="nil" w:color="auto" w:fill="auto"/>
                <w:rtl w:val="0"/>
                <w:lang w:val="es-ES_tradnl"/>
              </w:rPr>
              <w:t>(fingernails, moral, cruel, original, Sky-God, python, leopard, hornet, dwarf).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5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AA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CSC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CEC</w:t>
            </w:r>
          </w:p>
        </w:tc>
        <w:tc>
          <w:tcPr>
            <w:tcW w:type="dxa" w:w="1854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utilizar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24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de alta frecuencia relativo a situaciones cotidianas y temas habituales y concretos.</w:t>
            </w:r>
          </w:p>
          <w:p>
            <w:pPr>
              <w:pStyle w:val="Cuerpo"/>
              <w:bidi w:val="0"/>
              <w:spacing w:after="24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- </w:t>
            </w:r>
            <w:r>
              <w:rPr>
                <w:rStyle w:val="Ninguno"/>
                <w:b w:val="1"/>
                <w:bCs w:val="1"/>
                <w:sz w:val="18"/>
                <w:szCs w:val="18"/>
                <w:shd w:val="nil" w:color="auto" w:fill="auto"/>
                <w:rtl w:val="0"/>
                <w:lang w:val="es-ES_tradnl"/>
              </w:rPr>
              <w:t xml:space="preserve">Conoce y utiliza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un repertorio limitado de l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xico escrito relativo al tema que trata la unidad (adjetivos que describen gente, tipos de libros,)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72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</w:pPr>
    </w:p>
    <w:p>
      <w:pPr>
        <w:pStyle w:val="Cuerpo"/>
      </w:pPr>
    </w:p>
    <w:tbl>
      <w:tblPr>
        <w:tblW w:w="155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05"/>
        <w:gridCol w:w="4395"/>
        <w:gridCol w:w="4677"/>
        <w:gridCol w:w="4535"/>
      </w:tblGrid>
      <w:tr>
        <w:tblPrEx>
          <w:shd w:val="clear" w:color="auto" w:fill="d0ddef"/>
        </w:tblPrEx>
        <w:trPr>
          <w:trHeight w:val="3122" w:hRule="atLeast"/>
        </w:trPr>
        <w:tc>
          <w:tcPr>
            <w:tcW w:type="dxa" w:w="1905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Orientaciones metodol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gicas</w:t>
            </w:r>
          </w:p>
        </w:tc>
        <w:tc>
          <w:tcPr>
            <w:tcW w:type="dxa" w:w="439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b w:val="1"/>
                <w:bCs w:val="1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Modelo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discursivo/expositivo.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Modelo experiencial.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Talleres.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Aprendizaje cooperativo.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tareas.</w:t>
            </w:r>
          </w:p>
          <w:p>
            <w:pPr>
              <w:pStyle w:val="Cuerpo"/>
              <w:numPr>
                <w:ilvl w:val="0"/>
                <w:numId w:val="1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Trabajo por proyectos.</w:t>
            </w:r>
          </w:p>
        </w:tc>
        <w:tc>
          <w:tcPr>
            <w:tcW w:type="dxa" w:w="4677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Procedimientos metodol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gicos</w:t>
            </w:r>
          </w:p>
          <w:p>
            <w:pPr>
              <w:pStyle w:val="Cuerpo"/>
              <w:spacing w:after="0" w:line="36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Participaci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Personalizaci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Interacci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Significatividad.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Funcionalidad.</w:t>
            </w:r>
          </w:p>
          <w:p>
            <w:pPr>
              <w:pStyle w:val="Cuerpo"/>
              <w:numPr>
                <w:ilvl w:val="0"/>
                <w:numId w:val="2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Globalizaci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45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Agrupamientos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Tareas individuales.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Agrupamiento flexible.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Parejas.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 grupo.</w:t>
            </w:r>
          </w:p>
          <w:p>
            <w:pPr>
              <w:pStyle w:val="Cuerpo"/>
              <w:numPr>
                <w:ilvl w:val="0"/>
                <w:numId w:val="3"/>
              </w:numPr>
              <w:bidi w:val="0"/>
              <w:spacing w:after="0" w:line="36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Gran grupo.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010"/>
        <w:gridCol w:w="3675"/>
        <w:gridCol w:w="3180"/>
        <w:gridCol w:w="2835"/>
        <w:gridCol w:w="3701"/>
      </w:tblGrid>
      <w:tr>
        <w:tblPrEx>
          <w:shd w:val="clear" w:color="auto" w:fill="d0ddef"/>
        </w:tblPrEx>
        <w:trPr>
          <w:trHeight w:val="3391" w:hRule="atLeast"/>
        </w:trPr>
        <w:tc>
          <w:tcPr>
            <w:tcW w:type="dxa" w:w="201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Contenidos transversales</w:t>
            </w:r>
          </w:p>
        </w:tc>
        <w:tc>
          <w:tcPr>
            <w:tcW w:type="dxa" w:w="367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Comprensi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lectora, expresi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oral y escrita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Superaci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del miedo, inseguridad, timidez en la expresi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oral.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del significado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Investigaci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personal del vocabulario desconocido en diccionarios biling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ü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modelos para la 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propios.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3180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Comunicaci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audiovisual y TIC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Uso de la  tecnolog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a  en el desarrollo de los contenidos tanto dentro como fuera del aula.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2835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Emprendimiento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Realizaci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las tareas escolares de forma aut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noma.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Presentaci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trabajos de forma creativa ,  ordenada y limpia.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los trabajos realizados durante la unidad de forma ordenada  incorporando  lo  aprendido  a los conocimientos previos.</w:t>
            </w:r>
          </w:p>
        </w:tc>
        <w:tc>
          <w:tcPr>
            <w:tcW w:type="dxa" w:w="3701"/>
            <w:tcBorders>
              <w:top w:val="single" w:color="7030a0" w:sz="2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Educaci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 c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vica y constitucional</w:t>
            </w:r>
          </w:p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por los trabajos de los dem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Respeto a otras culturas  y/o ideas.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positiva del uso del idioma por parte de los compa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eros.</w:t>
            </w:r>
          </w:p>
          <w:p>
            <w:pPr>
              <w:pStyle w:val="Cuerpo"/>
              <w:spacing w:after="0" w:line="240" w:lineRule="auto"/>
              <w:jc w:val="both"/>
            </w:pPr>
            <w:r>
              <w:rPr>
                <w:rStyle w:val="Ninguno"/>
                <w:shd w:val="nil" w:color="auto" w:fill="auto"/>
                <w:lang w:val="es-ES_tradnl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4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764"/>
        <w:gridCol w:w="12636"/>
      </w:tblGrid>
      <w:tr>
        <w:tblPrEx>
          <w:shd w:val="clear" w:color="auto" w:fill="d0ddef"/>
        </w:tblPrEx>
        <w:trPr>
          <w:trHeight w:val="531" w:hRule="atLeast"/>
        </w:trPr>
        <w:tc>
          <w:tcPr>
            <w:tcW w:type="dxa" w:w="2764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T.I.C.s</w:t>
            </w:r>
          </w:p>
        </w:tc>
        <w:tc>
          <w:tcPr>
            <w:tcW w:type="dxa" w:w="1263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deo animado sobre la vida de Charles Dicken: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"http://goo.gl/8LlvL9"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http://goo.gl/8LlvL9</w:t>
            </w:r>
            <w:r>
              <w:rPr/>
              <w:fldChar w:fldCharType="end" w:fldLock="0"/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Decoraci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de la clase con ideas de Charlie and chocolate factory: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"https://goo.gl/EJSvLd"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s-ES_tradnl"/>
              </w:rPr>
              <w:t>https://goo.gl/EJSvLd</w:t>
            </w:r>
            <w:r>
              <w:rPr/>
              <w:fldChar w:fldCharType="end" w:fldLock="0"/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 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5085"/>
        <w:gridCol w:w="4245"/>
        <w:gridCol w:w="4414"/>
      </w:tblGrid>
      <w:tr>
        <w:tblPrEx>
          <w:shd w:val="clear" w:color="auto" w:fill="d0ddef"/>
        </w:tblPrEx>
        <w:trPr>
          <w:trHeight w:val="365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Recursos  para la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508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Procedimiento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trabajo diario.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An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lisis y 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tareas especialmente creadas para la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individual.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 del avance colectivo.</w:t>
            </w:r>
          </w:p>
          <w:p>
            <w:pPr>
              <w:pStyle w:val="Cuerpo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Valoraci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 del avance colectivo.</w:t>
            </w:r>
            <w:r>
              <w:rPr>
                <w:rStyle w:val="Ninguno"/>
                <w:shd w:val="nil" w:color="auto" w:fill="auto"/>
              </w:rPr>
            </w:r>
          </w:p>
        </w:tc>
        <w:tc>
          <w:tcPr>
            <w:tcW w:type="dxa" w:w="4245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Instrumentos de evaluaci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Observaci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directa del alumno.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 de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 correspondientes a la unidad.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Otros documentos.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Intervenciones.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personales.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Proyectos grupales.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Representaciones dramatizaciones.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Elaboraciones multimedia.</w:t>
            </w:r>
          </w:p>
          <w:p>
            <w:pPr>
              <w:pStyle w:val="Cuerpo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both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Producciones con tics.</w:t>
            </w:r>
          </w:p>
        </w:tc>
        <w:tc>
          <w:tcPr>
            <w:tcW w:type="dxa" w:w="441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Sistema de calificaci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  <w:p>
            <w:pPr>
              <w:pStyle w:val="Cuerpo"/>
              <w:spacing w:after="0" w:line="240" w:lineRule="auto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cualitativa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bricas de la unidad.</w:t>
            </w:r>
          </w:p>
          <w:p>
            <w:pPr>
              <w:pStyle w:val="Cuerpo"/>
              <w:numPr>
                <w:ilvl w:val="1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Pruebas de evaluaci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por competencias.</w:t>
            </w:r>
          </w:p>
          <w:p>
            <w:pPr>
              <w:pStyle w:val="Cuerpo"/>
              <w:numPr>
                <w:ilvl w:val="0"/>
                <w:numId w:val="6"/>
              </w:numPr>
              <w:bidi w:val="0"/>
              <w:spacing w:after="0" w:line="240" w:lineRule="auto"/>
              <w:ind w:right="0"/>
              <w:jc w:val="left"/>
              <w:rPr>
                <w:rtl w:val="0"/>
                <w:lang w:val="es-ES_tradnl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cuantitativa:</w:t>
            </w:r>
          </w:p>
          <w:p>
            <w:pPr>
              <w:pStyle w:val="Cuerpo"/>
              <w:bidi w:val="0"/>
              <w:spacing w:after="0" w:line="240" w:lineRule="auto"/>
              <w:ind w:left="335" w:right="0" w:firstLine="0"/>
              <w:jc w:val="both"/>
              <w:rPr>
                <w:rtl w:val="0"/>
              </w:rPr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pruebas de control cada actividad se calificar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el punto asignado si es correcto o menos si est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incompleto pero no faltan elementos esenciales.</w:t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50"/>
        <w:gridCol w:w="13744"/>
      </w:tblGrid>
      <w:tr>
        <w:tblPrEx>
          <w:shd w:val="clear" w:color="auto" w:fill="d0ddef"/>
        </w:tblPrEx>
        <w:trPr>
          <w:trHeight w:val="1191" w:hRule="atLeast"/>
        </w:trPr>
        <w:tc>
          <w:tcPr>
            <w:tcW w:type="dxa" w:w="1650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Atenci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 a la diversidad</w:t>
            </w:r>
          </w:p>
        </w:tc>
        <w:tc>
          <w:tcPr>
            <w:tcW w:type="dxa" w:w="13744"/>
            <w:tcBorders>
              <w:top w:val="single" w:color="7030a0" w:sz="24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  <w:lang w:val="es-ES_tradnl"/>
              </w:rPr>
            </w:pPr>
          </w:p>
          <w:p>
            <w:pPr>
              <w:pStyle w:val="Cuerpo"/>
              <w:numPr>
                <w:ilvl w:val="0"/>
                <w:numId w:val="7"/>
              </w:numPr>
              <w:bidi w:val="0"/>
              <w:spacing w:after="0" w:line="240" w:lineRule="auto"/>
              <w:ind w:right="0"/>
              <w:jc w:val="both"/>
              <w:rPr>
                <w:sz w:val="14"/>
                <w:szCs w:val="14"/>
                <w:rtl w:val="0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14"/>
                <w:szCs w:val="14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Utilizaci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de actividades de refuerzo o ampliaci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seg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las necesidades de cada alumno.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Organizaci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n flexible del aula.</w:t>
            </w:r>
          </w:p>
          <w:p>
            <w:pPr>
              <w:pStyle w:val="Cuerpo"/>
              <w:numPr>
                <w:ilvl w:val="0"/>
                <w:numId w:val="8"/>
              </w:numPr>
              <w:bidi w:val="0"/>
              <w:spacing w:after="0" w:line="240" w:lineRule="auto"/>
              <w:ind w:right="0"/>
              <w:jc w:val="both"/>
              <w:rPr>
                <w:sz w:val="18"/>
                <w:szCs w:val="18"/>
                <w:rtl w:val="0"/>
                <w:lang w:val="es-ES_tradnl"/>
              </w:rPr>
            </w:pP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Refuerzos positivos para el reconocimiento del esfuerzo de los alumnos con ritmo m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z w:val="18"/>
                <w:szCs w:val="18"/>
                <w:shd w:val="nil" w:color="auto" w:fill="auto"/>
                <w:rtl w:val="0"/>
                <w:lang w:val="es-ES_tradnl"/>
              </w:rPr>
              <w:t>s lento.</w:t>
            </w:r>
            <w:r>
              <w:rPr>
                <w:rStyle w:val="Ninguno"/>
                <w:sz w:val="18"/>
                <w:szCs w:val="18"/>
                <w:shd w:val="nil" w:color="auto" w:fill="auto"/>
              </w:rPr>
            </w:r>
          </w:p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  <w:jc w:val="both"/>
      </w:pPr>
    </w:p>
    <w:tbl>
      <w:tblPr>
        <w:tblW w:w="153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2566"/>
        <w:gridCol w:w="2565"/>
        <w:gridCol w:w="2566"/>
        <w:gridCol w:w="2565"/>
        <w:gridCol w:w="2566"/>
      </w:tblGrid>
      <w:tr>
        <w:tblPrEx>
          <w:shd w:val="clear" w:color="auto" w:fill="d0ddef"/>
        </w:tblPrEx>
        <w:trPr>
          <w:trHeight w:val="280" w:hRule="atLeast"/>
        </w:trPr>
        <w:tc>
          <w:tcPr>
            <w:tcW w:type="dxa" w:w="15393"/>
            <w:gridSpan w:val="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INDICADORES DE LOGRO. R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bricas de evaluaci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00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Est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ndares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aprendizaje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1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2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3</w:t>
            </w:r>
          </w:p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Nivel 4</w:t>
            </w:r>
          </w:p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Calificaci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3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8064a2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8064a2" w:sz="8" w:space="0" w:shadow="0" w:frame="0"/>
              <w:right w:val="single" w:color="7030a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51" w:hRule="atLeast"/>
        </w:trPr>
        <w:tc>
          <w:tcPr>
            <w:tcW w:type="dxa" w:w="2565"/>
            <w:tcBorders>
              <w:top w:val="single" w:color="8064a2" w:sz="8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5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8064a2" w:sz="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66"/>
            <w:tcBorders>
              <w:top w:val="single" w:color="8064a2" w:sz="8" w:space="0" w:shadow="0" w:frame="0"/>
              <w:left w:val="single" w:color="8064a2" w:sz="8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  <w:jc w:val="both"/>
      </w:pPr>
    </w:p>
    <w:p>
      <w:pPr>
        <w:pStyle w:val="Cuerpo"/>
      </w:pPr>
    </w:p>
    <w:tbl>
      <w:tblPr>
        <w:tblW w:w="153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01"/>
        <w:gridCol w:w="384"/>
        <w:gridCol w:w="385"/>
        <w:gridCol w:w="385"/>
        <w:gridCol w:w="384"/>
        <w:gridCol w:w="385"/>
        <w:gridCol w:w="385"/>
        <w:gridCol w:w="385"/>
      </w:tblGrid>
      <w:tr>
        <w:tblPrEx>
          <w:shd w:val="clear" w:color="auto" w:fill="d0ddef"/>
        </w:tblPrEx>
        <w:trPr>
          <w:trHeight w:val="400" w:hRule="atLeast"/>
        </w:trPr>
        <w:tc>
          <w:tcPr>
            <w:tcW w:type="dxa" w:w="12701"/>
            <w:vMerge w:val="restart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Dise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o de actividades</w:t>
            </w:r>
          </w:p>
        </w:tc>
        <w:tc>
          <w:tcPr>
            <w:tcW w:type="dxa" w:w="2693"/>
            <w:gridSpan w:val="7"/>
            <w:tcBorders>
              <w:top w:val="single" w:color="7030a0" w:sz="24" w:space="0" w:shadow="0" w:frame="0"/>
              <w:left w:val="single" w:color="8064a2" w:sz="18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Competencias</w:t>
            </w:r>
          </w:p>
        </w:tc>
      </w:tr>
      <w:tr>
        <w:tblPrEx>
          <w:shd w:val="clear" w:color="auto" w:fill="d0ddef"/>
        </w:tblPrEx>
        <w:trPr>
          <w:trHeight w:val="226" w:hRule="atLeast"/>
        </w:trPr>
        <w:tc>
          <w:tcPr>
            <w:tcW w:type="dxa" w:w="12701"/>
            <w:vMerge w:val="continue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</w:tcPr>
          <w:p/>
        </w:tc>
        <w:tc>
          <w:tcPr>
            <w:tcW w:type="dxa" w:w="384"/>
            <w:tcBorders>
              <w:top w:val="nil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384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385"/>
            <w:tcBorders>
              <w:top w:val="nil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Actividades de calentamiento (warm-up activities) donde se repasa con los alumnos el vocabulario aprendido anteriormente y estructuras relacionadas con el tema.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Afianzamiento del vocabulario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 juegos (missing word, family cards, spelling games,...), preguntas, diccionario propio, etc. dentro de un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Escuchar un di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logo corto para identificar el vocabulario aprendido.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para identificar el vocabulario e inquirir el significado de otras palabras a trav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 del contexto.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las lecturas subrayar y anotar  aquellas expresiones no conocidas para ir afianzando su aprendizaje.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Reordenar frases o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rrafos. Una vez le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do y trabajado el texto se les da a los alumnos el mismo texto cortado en tiras para que lo ordenen de la forma correcta. Dependiendo de los niveles se les 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dicho texto dividido en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rrafos o en oraciones.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 una amplia lista de palabras (divididas en grupos seg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su funci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gramatical) los alumnos en grupos de cuatro intentar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ordenarlas para formar una oraci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De esta forma los alumnos deducir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las diferentes estructuras gramaticales del ingl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parejas trabajar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n el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speaking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mediante la descripci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una l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mina, proyecci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n, p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ster,... resaltado las estructuras gramaticales.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Lectura de un texto corto para poder hacer un escrito similar prestando especial atenci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al vocabulario y la gram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tica. Al finalizar se leer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clase y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la misma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Visionado de un corto para trabajar la comprensi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n. La intenci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es captar el m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ximo de detalles con la ayuda de un contexto favorecido por los efectos sonoros y la aportaci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la imagen en movimiento.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Role-play. Escenificaci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en peque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os grupos del v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deo visto.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501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squeda en internet sobre c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mo los aspectos trabajados son realizados/afrontados en otros pa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ses. La recopilaci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de dicha informaci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 se expondr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en clase con ayuda de un cartel que tienen que realizar y que luego quedar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expuesto en el aula.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8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Recitar poemas, trabalenguas, rimas con el fin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ú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ltimo de practicar el sonido de ciertas letras,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“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consonant clusters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 xml:space="preserve">” 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y grupos f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nicos.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8064a2" w:sz="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8064a2" w:sz="4" w:space="0" w:shadow="0" w:frame="0"/>
              <w:right w:val="single" w:color="7030a0" w:sz="24" w:space="0" w:shadow="0" w:frame="0"/>
            </w:tcBorders>
            <w:shd w:val="clear" w:color="auto" w:fill="dfd8e8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</w:tr>
      <w:tr>
        <w:tblPrEx>
          <w:shd w:val="clear" w:color="auto" w:fill="d0ddef"/>
        </w:tblPrEx>
        <w:trPr>
          <w:trHeight w:val="370" w:hRule="atLeast"/>
        </w:trPr>
        <w:tc>
          <w:tcPr>
            <w:tcW w:type="dxa" w:w="12701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7030a0" w:sz="24" w:space="0" w:shadow="0" w:frame="0"/>
              <w:right w:val="single" w:color="8064a2" w:sz="1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Repaso del tema y  aclaraciones de dudas que se pueden tener.</w:t>
            </w:r>
          </w:p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18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4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8064a2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hd w:val="nil" w:color="auto" w:fill="auto"/>
                <w:rtl w:val="0"/>
                <w:lang w:val="es-ES_tradnl"/>
              </w:rPr>
              <w:t>X</w:t>
            </w:r>
          </w:p>
        </w:tc>
        <w:tc>
          <w:tcPr>
            <w:tcW w:type="dxa" w:w="385"/>
            <w:tcBorders>
              <w:top w:val="single" w:color="8064a2" w:sz="4" w:space="0" w:shadow="0" w:frame="0"/>
              <w:left w:val="single" w:color="8064a2" w:sz="4" w:space="0" w:shadow="0" w:frame="0"/>
              <w:bottom w:val="single" w:color="7030a0" w:sz="24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</w:pPr>
    </w:p>
    <w:p>
      <w:pPr>
        <w:pStyle w:val="Cuerpo"/>
      </w:pPr>
    </w:p>
    <w:p>
      <w:pPr>
        <w:pStyle w:val="Cuerpo"/>
      </w:pPr>
    </w:p>
    <w:p>
      <w:pPr>
        <w:pStyle w:val="Cuerpo"/>
      </w:pPr>
    </w:p>
    <w:tbl>
      <w:tblPr>
        <w:tblW w:w="154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866"/>
        <w:gridCol w:w="508"/>
        <w:gridCol w:w="3090"/>
        <w:gridCol w:w="3090"/>
        <w:gridCol w:w="2010"/>
        <w:gridCol w:w="1080"/>
        <w:gridCol w:w="2791"/>
      </w:tblGrid>
      <w:tr>
        <w:tblPrEx>
          <w:shd w:val="clear" w:color="auto" w:fill="d0ddef"/>
        </w:tblPrEx>
        <w:trPr>
          <w:trHeight w:val="525" w:hRule="atLeast"/>
        </w:trPr>
        <w:tc>
          <w:tcPr>
            <w:tcW w:type="dxa" w:w="2866"/>
            <w:tcBorders>
              <w:top w:val="single" w:color="7030a0" w:sz="24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right" w:pos="2891"/>
              </w:tabs>
              <w:spacing w:after="0" w:line="240" w:lineRule="auto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CURSO: 6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º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 xml:space="preserve">REA: </w:t>
            </w:r>
          </w:p>
        </w:tc>
        <w:tc>
          <w:tcPr>
            <w:tcW w:type="dxa" w:w="8698"/>
            <w:gridSpan w:val="4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UNIDAD: Topic 1</w:t>
            </w:r>
          </w:p>
        </w:tc>
        <w:tc>
          <w:tcPr>
            <w:tcW w:type="dxa" w:w="3871"/>
            <w:gridSpan w:val="2"/>
            <w:tcBorders>
              <w:top w:val="single" w:color="7030a0" w:sz="24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c3b5d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TEMPORALIZACI</w:t>
            </w:r>
            <w:r>
              <w:rPr>
                <w:rStyle w:val="Ninguno"/>
                <w:rFonts w:ascii="Cambria" w:hAnsi="Cambria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mbria" w:hAnsi="Cambria"/>
                <w:b w:val="1"/>
                <w:bCs w:val="1"/>
                <w:shd w:val="nil" w:color="auto" w:fill="auto"/>
                <w:rtl w:val="0"/>
                <w:lang w:val="es-ES_tradnl"/>
              </w:rPr>
              <w:t>N:</w:t>
            </w:r>
          </w:p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Lunes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Martes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Mi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shd w:val="nil" w:color="auto" w:fill="auto"/>
                <w:rtl w:val="0"/>
                <w:lang w:val="es-ES_tradnl"/>
              </w:rPr>
              <w:t>rcoles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Jueves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center"/>
            </w:pPr>
            <w:r>
              <w:rPr>
                <w:rStyle w:val="Ninguno"/>
                <w:shd w:val="nil" w:color="auto" w:fill="auto"/>
                <w:rtl w:val="0"/>
                <w:lang w:val="es-ES_tradnl"/>
              </w:rPr>
              <w:t>Viernes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2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13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single" w:color="8064a2" w:sz="12" w:space="0" w:shadow="0" w:frame="0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  <w:rPr>
                <w:rStyle w:val="Ninguno"/>
                <w:shd w:val="nil" w:color="auto" w:fill="auto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Asignatura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Contenido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Recursos: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Style w:val="Ninguno"/>
                <w:shd w:val="nil" w:color="auto" w:fill="auto"/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Din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mica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:</w:t>
            </w:r>
          </w:p>
          <w:p>
            <w:pPr>
              <w:pStyle w:val="Cuerp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b w:val="1"/>
                <w:bCs w:val="1"/>
                <w:sz w:val="16"/>
                <w:szCs w:val="16"/>
                <w:shd w:val="nil" w:color="auto" w:fill="auto"/>
                <w:rtl w:val="0"/>
                <w:lang w:val="es-ES_tradnl"/>
              </w:rPr>
              <w:t>Anee:</w:t>
            </w:r>
          </w:p>
        </w:tc>
      </w:tr>
      <w:tr>
        <w:tblPrEx>
          <w:shd w:val="clear" w:color="auto" w:fill="d0ddef"/>
        </w:tblPrEx>
        <w:trPr>
          <w:trHeight w:val="580" w:hRule="atLeast"/>
        </w:trPr>
        <w:tc>
          <w:tcPr>
            <w:tcW w:type="dxa" w:w="3374"/>
            <w:gridSpan w:val="2"/>
            <w:tcBorders>
              <w:top w:val="single" w:color="8064a2" w:sz="12" w:space="0" w:shadow="0" w:frame="0"/>
              <w:left w:val="single" w:color="7030a0" w:sz="24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ciclo.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de nivel.</w:t>
            </w:r>
          </w:p>
        </w:tc>
        <w:tc>
          <w:tcPr>
            <w:tcW w:type="dxa" w:w="3090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Curso de formaci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n.</w:t>
            </w:r>
          </w:p>
        </w:tc>
        <w:tc>
          <w:tcPr>
            <w:tcW w:type="dxa" w:w="3090"/>
            <w:gridSpan w:val="2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8064a2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Trabajo personal.</w:t>
            </w:r>
          </w:p>
        </w:tc>
        <w:tc>
          <w:tcPr>
            <w:tcW w:type="dxa" w:w="2791"/>
            <w:tcBorders>
              <w:top w:val="single" w:color="8064a2" w:sz="12" w:space="0" w:shadow="0" w:frame="0"/>
              <w:left w:val="single" w:color="8064a2" w:sz="12" w:space="0" w:shadow="0" w:frame="0"/>
              <w:bottom w:val="nil"/>
              <w:right w:val="single" w:color="7030a0" w:sz="2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/>
              <w:jc w:val="both"/>
            </w:pP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Reuni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sz w:val="16"/>
                <w:szCs w:val="16"/>
                <w:shd w:val="nil" w:color="auto" w:fill="auto"/>
                <w:rtl w:val="0"/>
                <w:lang w:val="es-ES_tradnl"/>
              </w:rPr>
              <w:t>n  de padres.</w:t>
            </w:r>
          </w:p>
        </w:tc>
      </w:tr>
    </w:tbl>
    <w:p>
      <w:pPr>
        <w:pStyle w:val="Cuerpo"/>
        <w:widowControl w:val="0"/>
        <w:spacing w:line="240" w:lineRule="auto"/>
      </w:pPr>
      <w:r/>
      <w:bookmarkStart w:name="h.gjdgxs" w:id="0"/>
      <w:bookmarkEnd w:id="0"/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0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2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4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6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86" w:hanging="7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4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1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3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5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7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90" w:hanging="7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18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3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0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7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9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21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93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658" w:hanging="4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●"/>
      <w:lvlJc w:val="left"/>
      <w:pPr>
        <w:ind w:left="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6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3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8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5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2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9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lvl w:ilvl="0">
        <w:start w:val="1"/>
        <w:numFmt w:val="bullet"/>
        <w:suff w:val="tab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rFonts w:ascii="Calibri" w:cs="Calibri" w:hAnsi="Calibri" w:eastAsia="Calibri"/>
      <w:outline w:val="0"/>
      <w:color w:val="1155cc"/>
      <w:u w:val="single" w:color="1155cc"/>
      <w:shd w:val="nil" w:color="auto" w:fill="auto"/>
      <w:lang w:val="es-ES_tradnl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