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/>
        <w:jc w:val="both"/>
      </w:pPr>
      <w:bookmarkStart w:name="h.twknq294j59g" w:id="0"/>
      <w:bookmarkEnd w:id="0"/>
    </w:p>
    <w:p>
      <w:pPr>
        <w:pStyle w:val="Cuerpo A"/>
        <w:spacing w:after="0"/>
        <w:jc w:val="both"/>
      </w:pPr>
      <w:r>
        <w:rPr>
          <w:rStyle w:val="Ninguno"/>
          <w:sz w:val="24"/>
          <w:szCs w:val="24"/>
          <w:rtl w:val="0"/>
        </w:rPr>
        <w:t xml:space="preserve"> </w:t>
      </w:r>
    </w:p>
    <w:tbl>
      <w:tblPr>
        <w:tblW w:w="15398" w:type="dxa"/>
        <w:jc w:val="left"/>
        <w:tblInd w:w="3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64"/>
        <w:gridCol w:w="1320"/>
        <w:gridCol w:w="1360"/>
        <w:gridCol w:w="417"/>
        <w:gridCol w:w="1778"/>
        <w:gridCol w:w="1992"/>
        <w:gridCol w:w="1992"/>
        <w:gridCol w:w="1992"/>
        <w:gridCol w:w="1992"/>
        <w:gridCol w:w="1991"/>
      </w:tblGrid>
      <w:tr>
        <w:tblPrEx>
          <w:shd w:val="clear" w:color="auto" w:fill="d0ddef"/>
        </w:tblPrEx>
        <w:trPr>
          <w:trHeight w:val="733" w:hRule="atLeast"/>
        </w:trPr>
        <w:tc>
          <w:tcPr>
            <w:tcW w:type="dxa" w:w="1884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c3b5d3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ind w:left="203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/>
              <w:ind w:left="203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s</w:t>
            </w:r>
          </w:p>
        </w:tc>
        <w:tc>
          <w:tcPr>
            <w:tcW w:type="dxa" w:w="3555"/>
            <w:gridSpan w:val="3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c3b5d3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ind w:left="203" w:firstLine="0"/>
              <w:jc w:val="both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UNIDAD:  Topic 2</w:t>
            </w:r>
          </w:p>
        </w:tc>
        <w:tc>
          <w:tcPr>
            <w:tcW w:type="dxa" w:w="9959"/>
            <w:gridSpan w:val="5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ind w:left="203" w:firstLine="0"/>
              <w:jc w:val="both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>N: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c3b5d3"/>
                <w:rtl w:val="0"/>
                <w:lang w:val="es-ES_tradnl"/>
              </w:rPr>
              <w:t xml:space="preserve"> 26 DE OCTUBRE - 15 DE NOVIEMBRE</w:t>
            </w:r>
          </w:p>
        </w:tc>
      </w:tr>
      <w:tr>
        <w:tblPrEx>
          <w:shd w:val="clear" w:color="auto" w:fill="d0ddef"/>
        </w:tblPrEx>
        <w:trPr>
          <w:trHeight w:val="256" w:hRule="atLeast"/>
        </w:trPr>
        <w:tc>
          <w:tcPr>
            <w:tcW w:type="dxa" w:w="564"/>
            <w:vMerge w:val="restart"/>
            <w:tcBorders>
              <w:top w:val="single" w:color="7030a0" w:sz="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ind w:left="30" w:firstLine="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Bloques</w:t>
            </w:r>
          </w:p>
        </w:tc>
        <w:tc>
          <w:tcPr>
            <w:tcW w:type="dxa" w:w="2680"/>
            <w:gridSpan w:val="2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CONTENIDOS</w:t>
            </w:r>
          </w:p>
        </w:tc>
        <w:tc>
          <w:tcPr>
            <w:tcW w:type="dxa" w:w="417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C</w:t>
            </w:r>
          </w:p>
        </w:tc>
        <w:tc>
          <w:tcPr>
            <w:tcW w:type="dxa" w:w="1778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N</w:t>
            </w:r>
          </w:p>
        </w:tc>
        <w:tc>
          <w:tcPr>
            <w:tcW w:type="dxa" w:w="1992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NDARES APRENDIZAJE</w:t>
            </w:r>
          </w:p>
        </w:tc>
        <w:tc>
          <w:tcPr>
            <w:tcW w:type="dxa" w:w="7967"/>
            <w:gridSpan w:val="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NIVELES DE ADQUISICI</w:t>
            </w:r>
            <w:r>
              <w:rPr>
                <w:rStyle w:val="Ninguno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85" w:hRule="atLeast"/>
        </w:trPr>
        <w:tc>
          <w:tcPr>
            <w:tcW w:type="dxa" w:w="564"/>
            <w:vMerge w:val="continue"/>
            <w:tcBorders>
              <w:top w:val="single" w:color="7030a0" w:sz="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417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1778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199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1991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199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199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19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2751" w:hRule="atLeast"/>
        </w:trPr>
        <w:tc>
          <w:tcPr>
            <w:tcW w:type="dxa" w:w="564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680"/>
            <w:gridSpan w:val="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una historia animada,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paga,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programas de TV.</w:t>
            </w:r>
          </w:p>
        </w:tc>
        <w:tc>
          <w:tcPr>
            <w:tcW w:type="dxa" w:w="417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- 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capta el sentido general de anuncios publicitarios sencillos sobre productos que le interesan.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</w:tc>
      </w:tr>
      <w:tr>
        <w:tblPrEx>
          <w:shd w:val="clear" w:color="auto" w:fill="d0ddef"/>
        </w:tblPrEx>
        <w:trPr>
          <w:trHeight w:val="1743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hacer preguntas acerca de las posesiones personales, utilizando  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meros.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 w:line="240" w:lineRule="auto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</w:p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</w:p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</w:p>
        </w:tc>
      </w:tr>
      <w:tr>
        <w:tblPrEx>
          <w:shd w:val="clear" w:color="auto" w:fill="d0ddef"/>
        </w:tblPrEx>
        <w:trPr>
          <w:trHeight w:val="2256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2680"/>
            <w:gridSpan w:val="2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Comparative and superlative adjectives: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with two or more syllables: Granny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car was more colourful than other cars. Freddie had the most adventurous day of his life.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Infinitives of purpose / adjectives with infinitives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We use money to pay for goods.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easy to exchange goods.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utilizar cuantificadores all of, most of, some of, none of.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outline w:val="0"/>
                <w:color w:val="cc0000"/>
                <w:sz w:val="18"/>
                <w:szCs w:val="18"/>
                <w:u w:color="cc0000"/>
                <w:shd w:val="nil" w:color="auto" w:fill="auto"/>
                <w:rtl w:val="0"/>
                <w:lang w:val="en-US"/>
                <w14:textFill>
                  <w14:solidFill>
                    <w14:srgbClr w14:val="CC0000"/>
                  </w14:solidFill>
                </w14:textFill>
              </w:rPr>
              <w:t xml:space="preserve">   </w:t>
            </w:r>
          </w:p>
        </w:tc>
        <w:tc>
          <w:tcPr>
            <w:tcW w:type="dxa" w:w="417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 w:line="240" w:lineRule="auto"/>
              <w:ind w:right="125" w:firstLine="212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01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2680"/>
            <w:gridSpan w:val="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417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 A"/>
              <w:bidi w:val="0"/>
              <w:spacing w:after="24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ficos.sobre los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8064a2" w:sz="8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8064a2" w:sz="8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68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Programas de TV: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cartoon, comedy show, quiz show, documentary, soap opera, live sports,the news, the weather, adverts, talent show, cookery show, music programme.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Dinero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coins, notes, ten pound note, penny, twenty pence piece, money box, purse, wallet, spend, pocket money, save, piggy bank.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Historia del dinero: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goods, services, BC, cereal, exchange, necessary, difficult, value, go bad,agree, object, shell, rock, tool, amount, change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(n)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goldsmith, receipt, bank note, rot.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Colecciones: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pocket money, collection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concretos, y utilizar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historia (DVD) sobre el tema de la unidad.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199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199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  <w:tc>
          <w:tcPr>
            <w:tcW w:type="dxa" w:w="199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6000" w:hRule="atLeast"/>
        </w:trPr>
        <w:tc>
          <w:tcPr>
            <w:tcW w:type="dxa" w:w="564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2</w:t>
            </w:r>
          </w:p>
        </w:tc>
        <w:tc>
          <w:tcPr>
            <w:tcW w:type="dxa" w:w="2680"/>
            <w:gridSpan w:val="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desarrollar la fluidez y la precisi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n: hablar y expresar gustos y audiencias sobre programas de TV, hablar sobre dinero, practicar comparativos y superlativos utilizando adjetivos, describir las razones por las que hacemos algo (con o sin adjetivos).</w:t>
            </w:r>
          </w:p>
        </w:tc>
        <w:tc>
          <w:tcPr>
            <w:tcW w:type="dxa" w:w="417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Hace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presentaciones 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24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producciones orales sobre los programas de televisi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 y otros temas que aparecen en la unidad.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  <w:lang w:val="es-ES_tradnl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</w:p>
        </w:tc>
      </w:tr>
      <w:tr>
        <w:tblPrEx>
          <w:shd w:val="clear" w:color="auto" w:fill="d0ddef"/>
        </w:tblPrEx>
        <w:trPr>
          <w:trHeight w:val="3000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hacer preguntas sobre posesiones personales y dinero.</w:t>
            </w:r>
          </w:p>
        </w:tc>
        <w:tc>
          <w:tcPr>
            <w:tcW w:type="dxa" w:w="417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Responde</w:t>
            </w: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 xml:space="preserve"> a las preguntas de los compa</w:t>
            </w: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>ñ</w:t>
            </w: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 xml:space="preserve">eros o del profesor en situaciones comunicativas. </w:t>
            </w:r>
          </w:p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8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8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8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8" w:space="0" w:shadow="0" w:frame="0"/>
              <w:left w:val="single" w:color="7030a0" w:sz="4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65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417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Participa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>cnicos en las que se establece contacto social, se intercambia informaci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>n personal y sobre asuntos cotidianos, se expresan sentimientos, se ofrece algo a alguien,se pide prestado algo, etc.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Se hace entender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en intervenciones breves y sencillas relacionadas con la tem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tica de la unidad.</w:t>
            </w:r>
          </w:p>
        </w:tc>
        <w:tc>
          <w:tcPr>
            <w:tcW w:type="dxa" w:w="199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</w:p>
        </w:tc>
        <w:tc>
          <w:tcPr>
            <w:tcW w:type="dxa" w:w="199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</w:p>
        </w:tc>
        <w:tc>
          <w:tcPr>
            <w:tcW w:type="dxa" w:w="199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1991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708"/>
                <w:tab w:val="left" w:pos="1416"/>
              </w:tabs>
              <w:spacing w:after="0" w:line="240" w:lineRule="auto"/>
              <w:rPr>
                <w:rStyle w:val="Ninguno"/>
                <w:sz w:val="18"/>
                <w:szCs w:val="18"/>
                <w:shd w:val="nil" w:color="auto" w:fill="auto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adecuadosa distintos contextos </w:t>
            </w:r>
          </w:p>
          <w:p>
            <w:pPr>
              <w:pStyle w:val="Cuerpo A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3714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Comparative and superlative adjectives: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with two or more syllables: Granny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s car was more colourful than other cars. Freddie had the most adventurous day of his life.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Infinitives of purpose / adjectives with infinitives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We use money to pay for goods.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t easy to exchange goods.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utilizar cuantificadores all of, most of, some of, none of.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n-US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n-US"/>
              </w:rPr>
              <w:t>AA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Utiliza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las estructuras sint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sicas aunque sigan cometiendo errores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sicos. </w:t>
            </w:r>
          </w:p>
        </w:tc>
        <w:tc>
          <w:tcPr>
            <w:tcW w:type="dxa" w:w="1991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99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99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991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5715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xico de alta frecuencia relativo a: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Programas de TV: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cartoon, comedy show, quiz show, documentary, soap opera, live sports,the news, the weather, adverts, talent show, cookery show, music programme.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Dinero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coins, notes, ten pound note, penny, twenty pence piece, money box, purse, wallet, spend, pocket money, save, piggy bank.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Historia del dinero: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goods, services, BC, cereal, exchange, necessary, difficult, value, go bad,agree, object, shell, rock, tool, amount, change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>(n)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, goldsmith, receipt, bank note, rot.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Colecciones: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pocket money, collection, football card, swap, sand, feather, Peacock.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n-US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n-US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n-US"/>
              </w:rPr>
              <w:t>CEC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Conoce y utiliza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xico oral de alta frecuencia relativo al tema que trata la unidad.</w:t>
            </w:r>
          </w:p>
        </w:tc>
        <w:tc>
          <w:tcPr>
            <w:tcW w:type="dxa" w:w="1991"/>
            <w:tcBorders>
              <w:top w:val="single" w:color="8064a2" w:sz="8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8064a2" w:sz="8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8064a2" w:sz="8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8064a2" w:sz="8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12" w:hRule="atLeast"/>
        </w:trPr>
        <w:tc>
          <w:tcPr>
            <w:tcW w:type="dxa" w:w="564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141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ind w:left="61" w:firstLine="0"/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es-ES_tradnl"/>
              </w:rPr>
              <w:t>3</w:t>
            </w:r>
          </w:p>
        </w:tc>
        <w:tc>
          <w:tcPr>
            <w:tcW w:type="dxa" w:w="2680"/>
            <w:gridSpan w:val="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desarrollar habilidades intensivas y extensas de comprensi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de diferentes tipos de textos: un gr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fico de barras, una historia animada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(The adventure of Freddie Five Pounds),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un email informal., una presentaci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sobre programas de TV.</w:t>
            </w:r>
          </w:p>
        </w:tc>
        <w:tc>
          <w:tcPr>
            <w:tcW w:type="dxa" w:w="417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esencial o los puntos principales del texto.</w:t>
            </w: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67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comprender un email informal.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xico de alta frecuencia.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 A"/>
              <w:bidi w:val="0"/>
              <w:spacing w:after="24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s.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35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cticas: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Comparative and superlative adjectives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with two or more syllables: Granny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s car was more colourful than other cars. Freddie had the most adventurous day of his life.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>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nfinitives of purpose / adjectives with infinitives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to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We use money to pay for goods.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t easy to exchange goods.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Language focus: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utilizar cuantificadores all of, most of, some of, none of.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ffffff"/>
                <w:rtl w:val="0"/>
                <w:lang w:val="es-ES_tradnl"/>
              </w:rPr>
              <w:t>la funci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ffffff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ffffff"/>
                <w:rtl w:val="0"/>
                <w:lang w:val="es-ES_tradnl"/>
              </w:rPr>
              <w:t>s habituales, as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ffffff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ffffff"/>
                <w:rtl w:val="0"/>
                <w:lang w:val="es-ES_tradnl"/>
              </w:rPr>
              <w:t>sicos.</w:t>
            </w: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</w:p>
          <w:p>
            <w:pPr>
              <w:pStyle w:val="Cuerpo A"/>
              <w:bidi w:val="0"/>
              <w:spacing w:after="24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escrita.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las estructuras sint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cticas propias de la unidad.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710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xico de alta frecuencia relativo a: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Programas de TV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cartoon, comedy show, quiz show, documentary, soap opera, live sports,the news, the weather, adverts, talent show, cookery show, music programme.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Dinero: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coins, notes, ten pound note, penny, twenty pence piece, money box, purse, wallet, spend, pocket money, save, piggy bank.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Historia del dinero: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goods, services, BC, cereal, exchange, necessary, difficult, value, go bad,agree, object, shell, rock, tool, amount, change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>(n)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, goldsmith, receipt, bank note, rot.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n-US"/>
              </w:rPr>
              <w:t>Colecciones: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ffffff"/>
                <w:rtl w:val="0"/>
                <w:lang w:val="en-US"/>
              </w:rPr>
              <w:t>pocket money, collection, football card, swap, sand, feather, Peacock.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n contenida en el texto los significados probables de palabras y expresiones que se desconocen.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sz w:val="24"/>
                <w:szCs w:val="24"/>
                <w:shd w:val="clear" w:color="auto" w:fill="ffffff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ffffff"/>
                <w:rtl w:val="0"/>
                <w:lang w:val="es-ES_tradnl"/>
              </w:rPr>
              <w:t>Reconoce y utiliza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 xml:space="preserve"> con propiedad el l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ffffff"/>
                <w:rtl w:val="0"/>
                <w:lang w:val="es-ES_tradnl"/>
              </w:rPr>
              <w:t>xico relativo a la unidad.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974" w:hRule="atLeast"/>
        </w:trPr>
        <w:tc>
          <w:tcPr>
            <w:tcW w:type="dxa" w:w="564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dfd8e8"/>
                <w:rtl w:val="0"/>
                <w:lang w:val="es-ES_tradnl"/>
              </w:rPr>
              <w:t>4</w:t>
            </w:r>
          </w:p>
        </w:tc>
        <w:tc>
          <w:tcPr>
            <w:tcW w:type="dxa" w:w="2680"/>
            <w:gridSpan w:val="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componer textos propios, progresivamente m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tica a una historia, la Descripci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 de un gr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fico de barras. Identificar y escribir palabras relacionadas con programas de TV y dinero</w:t>
            </w:r>
          </w:p>
        </w:tc>
        <w:tc>
          <w:tcPr>
            <w:tcW w:type="dxa" w:w="417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gicos muy breves y sencillos</w:t>
            </w:r>
          </w:p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mismo y de su entorno inmediato.</w:t>
            </w:r>
          </w:p>
          <w:p>
            <w:pPr>
              <w:pStyle w:val="Cuerpo A"/>
              <w:bidi w:val="0"/>
              <w:spacing w:after="24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- Es capaz de escribir una invitaci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n, una respuesta a esa invitaci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 y una nota de agradecimiento.</w:t>
            </w:r>
          </w:p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2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7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preparar una presentaci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 sobre programas de TV.</w:t>
            </w:r>
          </w:p>
        </w:tc>
        <w:tc>
          <w:tcPr>
            <w:tcW w:type="dxa" w:w="417"/>
            <w:vMerge w:val="restart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n.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Escribe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>, bas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rFonts w:ascii="Arial" w:hAnsi="Arial" w:hint="default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8"/>
                <w:szCs w:val="18"/>
                <w:shd w:val="clear" w:color="auto" w:fill="dfd8e8"/>
                <w:rtl w:val="0"/>
                <w:lang w:val="es-ES_tradnl"/>
              </w:rPr>
              <w:t>cter informativo sobre temas trabajados previamente.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03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417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- Prepara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presentaciones sobre programas de TV con cierta soltura y utilizando estructuras simples.</w:t>
            </w: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1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417"/>
            <w:vMerge w:val="continue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Se hace  entender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en intervenciones breves y sencillas.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956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Comparative and superlative adjectives: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with two or more syllables: Granny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s car was more colourful than other cars. Freddie had the most adventurous day of his life.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Infinitives of purpose / adjectives with infinitives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to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We use money to pay for goods. It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t easy to exchange goods.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utilizar cuantificadores all of, most of, some of, none of.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Utiliza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las estructuras sint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cticas de la unidad de manera oral y con intenci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n comunicativa. 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85" w:hRule="atLeast"/>
        </w:trPr>
        <w:tc>
          <w:tcPr>
            <w:tcW w:type="dxa" w:w="564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7030a0" w:sz="4" w:space="0" w:shadow="0" w:frame="0"/>
            </w:tcBorders>
            <w:shd w:val="clear" w:color="auto" w:fill="dfd8e8"/>
          </w:tcPr>
          <w:p/>
        </w:tc>
        <w:tc>
          <w:tcPr>
            <w:tcW w:type="dxa" w:w="2680"/>
            <w:gridSpan w:val="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Cuerpo A"/>
              <w:spacing w:after="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xico de alta frecuencia relativo a: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Programas de TV: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cartoon, comedy show, quiz show, documentary, soap opera, live sports,the news, the weather, adverts, talent show, cookery show, music programme.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Dinero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coins, notes, ten pound note, penny, twenty pence piece, money box, purse, wallet, spend, pocket money, save, piggy bank.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Historia del dinero: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goods, services, BC, cereal, exchange, necessary, difficult, value, go bad,agree, object, shell, rock, tool, amount, change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>(n)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, goldsmith, receipt, bank note, rot.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n-US"/>
              </w:rPr>
              <w:t>Colecciones: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clear" w:color="auto" w:fill="dfd8e8"/>
                <w:rtl w:val="0"/>
                <w:lang w:val="en-US"/>
              </w:rPr>
              <w:t>pocket money, collection, football card, swap, sand, feather, Peacock.</w:t>
            </w:r>
          </w:p>
        </w:tc>
        <w:tc>
          <w:tcPr>
            <w:tcW w:type="dxa" w:w="417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778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240"/>
              <w:ind w:right="125" w:firstLine="212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xico oral de alta frecuencia relativo a situaciones cotidianas y temas habituales y concretos.</w:t>
            </w:r>
          </w:p>
          <w:p>
            <w:pPr>
              <w:pStyle w:val="Cuerpo A"/>
              <w:bidi w:val="0"/>
              <w:spacing w:after="0"/>
              <w:ind w:left="0" w:right="125" w:firstLine="212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Cuerpo A"/>
              <w:spacing w:after="0"/>
              <w:ind w:right="125" w:firstLine="212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clear" w:color="auto" w:fill="dfd8e8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 xml:space="preserve"> un repertorio l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clear" w:color="auto" w:fill="dfd8e8"/>
                <w:rtl w:val="0"/>
                <w:lang w:val="es-ES_tradnl"/>
              </w:rPr>
              <w:t>xico en situaciones de la vida cotidiana,</w:t>
            </w:r>
            <w:r>
              <w:rPr>
                <w:rStyle w:val="Ninguno"/>
                <w:sz w:val="24"/>
                <w:szCs w:val="24"/>
                <w:shd w:val="clear" w:color="auto" w:fill="dfd8e8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2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1"/>
            <w:tcBorders>
              <w:top w:val="single" w:color="7030a0" w:sz="4" w:space="0" w:shadow="0" w:frame="0"/>
              <w:left w:val="single" w:color="7030a0" w:sz="4" w:space="0" w:shadow="0" w:frame="0"/>
              <w:bottom w:val="single" w:color="7030a0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after="0" w:line="240" w:lineRule="auto"/>
        <w:ind w:left="208" w:hanging="208"/>
      </w:pPr>
    </w:p>
    <w:p>
      <w:pPr>
        <w:pStyle w:val="Cuerpo A"/>
        <w:widowControl w:val="0"/>
        <w:spacing w:after="0" w:line="240" w:lineRule="auto"/>
        <w:ind w:left="100" w:hanging="100"/>
        <w:jc w:val="both"/>
      </w:pPr>
    </w:p>
    <w:p>
      <w:pPr>
        <w:pStyle w:val="Cuerpo A"/>
      </w:pPr>
    </w:p>
    <w:tbl>
      <w:tblPr>
        <w:tblW w:w="15169" w:type="dxa"/>
        <w:jc w:val="left"/>
        <w:tblInd w:w="3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76"/>
        <w:gridCol w:w="4227"/>
        <w:gridCol w:w="4700"/>
        <w:gridCol w:w="4066"/>
      </w:tblGrid>
      <w:tr>
        <w:tblPrEx>
          <w:shd w:val="clear" w:color="auto" w:fill="d0ddef"/>
        </w:tblPrEx>
        <w:trPr>
          <w:trHeight w:val="3240" w:hRule="atLeast"/>
        </w:trPr>
        <w:tc>
          <w:tcPr>
            <w:tcW w:type="dxa" w:w="217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276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ind w:left="196" w:firstLine="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227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 A"/>
              <w:spacing w:after="0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      o      Modelo discursivo/expositivo.</w:t>
            </w:r>
          </w:p>
          <w:p>
            <w:pPr>
              <w:pStyle w:val="Cuerpo A"/>
              <w:bidi w:val="0"/>
              <w:spacing w:after="0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Modelo experiencial.</w:t>
            </w:r>
          </w:p>
          <w:p>
            <w:pPr>
              <w:pStyle w:val="Cuerpo A"/>
              <w:bidi w:val="0"/>
              <w:spacing w:after="0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Talleres.</w:t>
            </w:r>
          </w:p>
          <w:p>
            <w:pPr>
              <w:pStyle w:val="Cuerpo A"/>
              <w:bidi w:val="0"/>
              <w:spacing w:after="0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Aprendizaje cooperativo.</w:t>
            </w:r>
          </w:p>
          <w:p>
            <w:pPr>
              <w:pStyle w:val="Cuerpo A"/>
              <w:bidi w:val="0"/>
              <w:spacing w:after="0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Trabajo por tareas.</w:t>
            </w:r>
          </w:p>
          <w:p>
            <w:pPr>
              <w:pStyle w:val="Cuerpo A"/>
              <w:bidi w:val="0"/>
              <w:spacing w:after="0"/>
              <w:ind w:left="600" w:right="0" w:hanging="360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Trabajo por proyectos.</w:t>
            </w:r>
          </w:p>
        </w:tc>
        <w:tc>
          <w:tcPr>
            <w:tcW w:type="dxa" w:w="4699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Participaci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Personalizaci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Interacci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Significatividad.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Funcionalidad.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06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 A"/>
              <w:spacing w:after="0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Tareas individuales.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Agrupamiento flexible.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Parejas.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Peque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 A"/>
              <w:bidi w:val="0"/>
              <w:spacing w:after="0" w:line="360" w:lineRule="auto"/>
              <w:ind w:left="600" w:right="0" w:hanging="360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      Gran grupo.</w:t>
            </w:r>
          </w:p>
        </w:tc>
      </w:tr>
    </w:tbl>
    <w:p>
      <w:pPr>
        <w:pStyle w:val="Cuerpo A"/>
        <w:widowControl w:val="0"/>
        <w:spacing w:line="240" w:lineRule="auto"/>
        <w:ind w:left="208" w:hanging="208"/>
      </w:pPr>
    </w:p>
    <w:p>
      <w:pPr>
        <w:pStyle w:val="Cuerpo A"/>
        <w:widowControl w:val="0"/>
        <w:spacing w:line="240" w:lineRule="auto"/>
        <w:ind w:left="100" w:hanging="100"/>
      </w:pPr>
    </w:p>
    <w:p>
      <w:pPr>
        <w:pStyle w:val="Cuerpo A"/>
      </w:pPr>
      <w:r>
        <w:rPr>
          <w:rStyle w:val="Ninguno"/>
          <w:sz w:val="24"/>
          <w:szCs w:val="24"/>
          <w:rtl w:val="0"/>
        </w:rPr>
        <w:t xml:space="preserve"> </w:t>
      </w:r>
    </w:p>
    <w:tbl>
      <w:tblPr>
        <w:tblW w:w="15167" w:type="dxa"/>
        <w:jc w:val="left"/>
        <w:tblInd w:w="3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76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971" w:hRule="atLeast"/>
        </w:trPr>
        <w:tc>
          <w:tcPr>
            <w:tcW w:type="dxa" w:w="177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ind w:left="142" w:firstLine="0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289"/>
              <w:bottom w:type="dxa" w:w="80"/>
              <w:right w:type="dxa" w:w="286"/>
            </w:tcMar>
            <w:vAlign w:val="top"/>
          </w:tcPr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289"/>
              <w:bottom w:type="dxa" w:w="80"/>
              <w:right w:type="dxa" w:w="286"/>
            </w:tcMar>
            <w:vAlign w:val="top"/>
          </w:tcPr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289"/>
              <w:bottom w:type="dxa" w:w="80"/>
              <w:right w:type="dxa" w:w="286"/>
            </w:tcMar>
            <w:vAlign w:val="top"/>
          </w:tcPr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289"/>
              <w:bottom w:type="dxa" w:w="80"/>
              <w:right w:type="dxa" w:w="286"/>
            </w:tcMar>
            <w:vAlign w:val="top"/>
          </w:tcPr>
          <w:p>
            <w:pPr>
              <w:pStyle w:val="Cuerpo A"/>
              <w:spacing w:after="0" w:line="240" w:lineRule="auto"/>
              <w:ind w:left="209" w:right="206" w:firstLine="0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 A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 A"/>
              <w:bidi w:val="0"/>
              <w:spacing w:after="0" w:line="240" w:lineRule="auto"/>
              <w:ind w:left="209" w:right="206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line="240" w:lineRule="auto"/>
        <w:ind w:left="220" w:hanging="220"/>
      </w:pPr>
    </w:p>
    <w:p>
      <w:pPr>
        <w:pStyle w:val="Cuerpo A"/>
        <w:widowControl w:val="0"/>
        <w:spacing w:line="240" w:lineRule="auto"/>
        <w:ind w:left="112" w:hanging="112"/>
      </w:pPr>
    </w:p>
    <w:p>
      <w:pPr>
        <w:pStyle w:val="Cuerpo A"/>
      </w:pPr>
    </w:p>
    <w:tbl>
      <w:tblPr>
        <w:tblW w:w="15186" w:type="dxa"/>
        <w:jc w:val="left"/>
        <w:tblInd w:w="3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0"/>
        <w:gridCol w:w="12856"/>
      </w:tblGrid>
      <w:tr>
        <w:tblPrEx>
          <w:shd w:val="clear" w:color="auto" w:fill="d0ddef"/>
        </w:tblPrEx>
        <w:trPr>
          <w:trHeight w:val="1041" w:hRule="atLeast"/>
        </w:trPr>
        <w:tc>
          <w:tcPr>
            <w:tcW w:type="dxa" w:w="233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559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/>
              <w:ind w:left="479" w:firstLine="0"/>
            </w:pPr>
            <w:r>
              <w:rPr>
                <w:rStyle w:val="Ning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8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Sopa de letras relacionada con vocabulario relativo al dinero: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"https://goo.gl/u8SHko"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https://goo.gl/u8SHko</w:t>
            </w:r>
            <w:r>
              <w:rPr/>
              <w:fldChar w:fldCharType="end" w:fldLock="0"/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Juego donde los productos son usados como intercambio de bienes: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"https://goo.gl/WMKHKk"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https://goo.gl/WMKHKk</w:t>
            </w:r>
            <w:r>
              <w:rPr/>
              <w:fldChar w:fldCharType="end" w:fldLock="0"/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Actividades interactivas sobre gr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ficas: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"http://goo.gl/ZhGSka"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http://goo.gl/ZhGSka</w:t>
            </w:r>
            <w:r>
              <w:rPr/>
              <w:fldChar w:fldCharType="end" w:fldLock="0"/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 A"/>
        <w:widowControl w:val="0"/>
        <w:spacing w:line="240" w:lineRule="auto"/>
        <w:ind w:left="208" w:hanging="208"/>
      </w:pPr>
    </w:p>
    <w:p>
      <w:pPr>
        <w:pStyle w:val="Cuerpo A"/>
        <w:widowControl w:val="0"/>
        <w:spacing w:line="240" w:lineRule="auto"/>
        <w:ind w:left="100" w:hanging="100"/>
      </w:pPr>
    </w:p>
    <w:p>
      <w:pPr>
        <w:pStyle w:val="Cuerpo A"/>
        <w:jc w:val="both"/>
      </w:pPr>
      <w:bookmarkStart w:name="h.gjdgxs" w:id="1"/>
      <w:bookmarkEnd w:id="1"/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97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 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 A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 A"/>
              <w:numPr>
                <w:ilvl w:val="1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 A"/>
              <w:numPr>
                <w:ilvl w:val="1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 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 A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2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 A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 A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5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8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54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8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7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4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 A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</w:pPr>
    </w:p>
    <w:p>
      <w:pPr>
        <w:pStyle w:val="Cuerpo A"/>
        <w:jc w:val="both"/>
      </w:pPr>
    </w:p>
    <w:p>
      <w:pPr>
        <w:pStyle w:val="Cuerpo A"/>
        <w:jc w:val="both"/>
      </w:pPr>
    </w:p>
    <w:tbl>
      <w:tblPr>
        <w:tblW w:w="1539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5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5392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spacing w:line="240" w:lineRule="auto"/>
        <w:ind w:left="108" w:hanging="108"/>
      </w:pPr>
    </w:p>
    <w:p>
      <w:pPr>
        <w:pStyle w:val="Cuerpo A"/>
        <w:widowControl w:val="0"/>
        <w:spacing w:line="240" w:lineRule="auto"/>
        <w:jc w:val="both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sz w:val="24"/>
      <w:szCs w:val="24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