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UNIDAD4: Important jobs.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ENERO.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ESTÁNDARESDEAPRENDIZAJE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  <w:lang w:val="en-US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lang w:val="en-US"/>
              </w:rPr>
              <w:t>artist, astronaut, director, engineer, firefighter, journalist, mechanic, nurse, scientist, singer.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>Verbos:</w:t>
            </w:r>
            <w:r>
              <w:rPr>
                <w:i/>
                <w:lang w:val="en-US"/>
              </w:rPr>
              <w:t xml:space="preserve"> create, direct, fly, make, put out, repair, report, sing, study, take care of.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</w:p>
          <w:p>
            <w:pPr>
              <w:pStyle w:val="Normal"/>
              <w:rPr/>
            </w:pPr>
            <w:r>
              <w:rPr/>
              <w:t>- Interrogación (</w:t>
            </w:r>
            <w:r>
              <w:rPr>
                <w:i/>
              </w:rPr>
              <w:t>Wh-questions</w:t>
            </w:r>
            <w:r>
              <w:rPr/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/>
              <w:t>- Expresión del tiempo presente (</w:t>
            </w:r>
            <w:r>
              <w:rPr>
                <w:i/>
              </w:rPr>
              <w:t>simplepresent</w:t>
            </w:r>
            <w:r>
              <w:rPr/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lo que se quiere ser de mayor.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ofertas de empleo escolares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describiendo el trabajo que les gustaría tener en el futuro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137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2020-10-20T07:59:00Z</dcterms:created>
  <dc:creator>Beatriz Sánchez Fernández</dc:creator>
  <dc:language>es-ES</dc:language>
  <dcterms:modified xsi:type="dcterms:W3CDTF">2021-09-28T20:29:19Z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