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after="0"/>
      </w:pPr>
    </w:p>
    <w:tbl>
      <w:tblPr>
        <w:tblW w:w="15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37"/>
        <w:gridCol w:w="966"/>
        <w:gridCol w:w="1258"/>
        <w:gridCol w:w="257"/>
        <w:gridCol w:w="1855"/>
        <w:gridCol w:w="2073"/>
        <w:gridCol w:w="2073"/>
        <w:gridCol w:w="2074"/>
        <w:gridCol w:w="2073"/>
        <w:gridCol w:w="2074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03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9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9</w:t>
            </w:r>
          </w:p>
        </w:tc>
        <w:tc>
          <w:tcPr>
            <w:tcW w:type="dxa" w:w="10366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MAYO</w:t>
            </w:r>
          </w:p>
        </w:tc>
      </w:tr>
      <w:tr>
        <w:tblPrEx>
          <w:shd w:val="clear" w:color="auto" w:fill="d0ddef"/>
        </w:tblPrEx>
        <w:trPr>
          <w:trHeight w:val="1304" w:hRule="atLeast"/>
        </w:trPr>
        <w:tc>
          <w:tcPr>
            <w:tcW w:type="dxa" w:w="637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OBJETIVOS ETAPA</w:t>
            </w:r>
          </w:p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207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79" w:hRule="atLeast"/>
        </w:trPr>
        <w:tc>
          <w:tcPr>
            <w:tcW w:type="dxa" w:w="63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22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una historia animada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The adventure of Freddie Five Pounds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), una larga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eligiendo una pel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cula, un poema para  identificar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 palabras con el fonema /</w:t>
            </w:r>
            <w:r>
              <w:rPr>
                <w:rStyle w:val="Ninguno"/>
                <w:rFonts w:ascii="MS Mincho" w:cs="MS Mincho" w:hAnsi="MS Mincho" w:eastAsia="MS Minch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ʃ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/.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hacer sugerencias.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y preposiciones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 be excited/worried/sad/happy/ angry about something / doing something. To be angry/good/bad at/with something. To be tried/scared of something / doing something. To be famous for something / doing something. To be interested in something / doing something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something done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+ object  + past participle):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The costume designer has special animal costumes made.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The actors have their hair styled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 y utilizar adverbios de modo.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3675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sobre el teatro y tipos de pel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culas.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13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 teatro: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(audience, director, stage, costumes, scenery, props, cast, backstage, lines, sound technician, curtain, lighting designer).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 de la escena: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build the set, rehearse the show, test the sound, advertise the show, tie your shoelaces, mend the costumes, put on make-up, paint your nails, design the programmes, write the script, dye your hair, style your hair).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Una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teatral o musical: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adaptation, animated, lyrics, cub, homeland, species,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mammal, necessary, plait (v),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spectacular.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Bailes: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(region, harvest,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percussion, strings, hip, trumpet, luck, emperorsand, feather, Peacock.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(DVD) sobre el tema de la unidad.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00" w:hRule="atLeast"/>
        </w:trPr>
        <w:tc>
          <w:tcPr>
            <w:tcW w:type="dxa" w:w="63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22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utilizar la preposici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correcta con los adjetivos.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presentaciones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producciones orales sobre una obr de  teatro 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hablar sobre cuando algo es hecho por alguien, hacer y responder a sugerencias.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las preguntas de un compa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ero en situaciones comunicativas.</w:t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3659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882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y preposiciones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 be excited/worried/sad/happy/ angry about something / doing something. To be angry/good/bad at/with something. To be tried/scared of something / doing something. To be famous for something / doing something. To be interested in something / doing something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something done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+ object  + past participle):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costume designer has special animal costumes made. The actors have their hair styled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 y utilizar adverbios de modo.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416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 teatro: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(audience, director, stage, costumes, scenery, props, cast, backstage, lines, sound technician, curtain, lighting designer).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 de la escena: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build the set, rehearse the show, test the sound, advertise the show, tie your shoelaces, mend the costumes, put on make-up, paint your nails, design the programmes, write the script, dye your hair, style your hair).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Una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teatral o musical: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adaptation, animated, lyrics, cub, homeland, species,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mammal, necessary, plait (v),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spectacular.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Bailes: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(region, harvest,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percussion, strings, hip, trumpet, luck, emperorsand, feather, Peacock.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84" w:hRule="atLeast"/>
        </w:trPr>
        <w:tc>
          <w:tcPr>
            <w:tcW w:type="dxa" w:w="63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22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 folleto publicitario, un gui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un texto cross-curricular sobre el musical The Lion King, un gui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 e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el teatro, obras de teatro y bailes tradicionales.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texto sobre 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mo prepararse para una representaci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n. 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8"/>
                <w:szCs w:val="18"/>
                <w:u w:color="ff0000"/>
                <w:rtl w:val="0"/>
                <w:lang w:val="es-ES_tradnl"/>
              </w:rPr>
              <w:t>Funciones comunicativas:   utilizar la preposici</w:t>
            </w:r>
            <w:r>
              <w:rPr>
                <w:rStyle w:val="Ninguno"/>
                <w:sz w:val="18"/>
                <w:szCs w:val="18"/>
                <w:u w:color="ff0000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u w:color="ff0000"/>
                <w:rtl w:val="0"/>
                <w:lang w:val="es-ES_tradnl"/>
              </w:rPr>
              <w:t>n correcta con los adjetivos, hablar sobre cuando algo es hecho por alguien, hacer y responder a sugerencias.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informativo.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635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y preposiciones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 be excited/worried/sad/happy/ angry about something / doing something. To be angry/good/bad at/with something. To be tried/scared of something / doing something. To be famous for something / doing something. To be interested in something / doing something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something done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+ object  + past participle):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The costume designer has special animal costumes made.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The actors have their hair styled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 y utilizar adverbios de modo.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 teatro: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(audience, director, stage, costumes, scenery, props, cast, backstage, lines, sound technician, curtain, lighting designer).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 de la escena: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build the set, rehearse the show, test the sound, advertise the show, tie your shoelaces, mend the costumes, put on make-up, paint your nails, design the programmes, write the script, dye your hair, style your hair).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Una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teatral o musical: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adaptation, animated, lyrics, cub, homeland, species,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mammal, necessary, plait (v),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spectacular.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Bailes: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(region, harvest,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percussion, strings, hip, trumpet, luck, emperorsand, feather, Peacock.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42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864" w:hRule="atLeast"/>
        </w:trPr>
        <w:tc>
          <w:tcPr>
            <w:tcW w:type="dxa" w:w="63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22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 cartel publicitario para una obra, un gui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 Identificar y escribir palabras relacionadas con el teatro y el mundo detr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de la escena.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de su entorno inmediato.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 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frases sobre una obra de teatro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sobre el tema trabajado en la unidad.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Escribe,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sencillos basados en el tema de la unida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preparar una representaci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corta.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7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635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Adjetivos y preposiciones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 be excited/worried/sad/happy/ angry about something / doing something. To be angry/good/bad at/with something. To be tried/scared of something / doing something. To be famous for something / doing something. To be interested in something / doing something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something done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have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+ object  + past participle):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The costume designer has special animal costumes made.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The actors have their hair styled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 y utilizar adverbios de modo.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117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El teatro: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(audience, director, stage, costumes, scenery, props, cast, backstage, lines, sound technician, curtain, lighting designer).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Detr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 de la escena: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build the set, rehearse the show, test the sound, advertise the show, tie your shoelaces, mend the costumes, put on make-up, paint your nails, design the programmes, write the script, dye your hair, style your hair).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Una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teatral o musical: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adaptation, animated, lyrics, cub, homeland, species,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mammal, necessary, plait (v),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spectacular.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Bailes: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(region, harvest,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percussion, strings, hip, trumpet, luck, emperorsand, feather, Peacock.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y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relativo al tema que trata la unidad (el teatro, obras teatrales).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1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 plays cortos para practicar el teatro en la clase de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"https://goo.gl/k3VUs0"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https://goo.gl/k3VUs0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"http://goo.gl/edd4dZ"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http://goo.gl/edd4dZ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bookmarkStart w:name="h.gjdgxs" w:id="0"/>
      <w:bookmarkEnd w:id="0"/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  <w:jc w:val="both"/>
      </w:pPr>
    </w:p>
    <w:p>
      <w:pPr>
        <w:pStyle w:val="Cuerp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