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widowControl w:val="0"/>
        <w:spacing w:after="0"/>
      </w:pPr>
    </w:p>
    <w:tbl>
      <w:tblPr>
        <w:tblW w:w="153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79"/>
        <w:gridCol w:w="1127"/>
        <w:gridCol w:w="1258"/>
        <w:gridCol w:w="256"/>
        <w:gridCol w:w="1855"/>
        <w:gridCol w:w="2073"/>
        <w:gridCol w:w="2073"/>
        <w:gridCol w:w="2073"/>
        <w:gridCol w:w="2073"/>
        <w:gridCol w:w="2073"/>
      </w:tblGrid>
      <w:tr>
        <w:tblPrEx>
          <w:shd w:val="clear" w:color="auto" w:fill="d0ddef"/>
        </w:tblPrEx>
        <w:trPr>
          <w:trHeight w:val="533" w:hRule="atLeast"/>
        </w:trPr>
        <w:tc>
          <w:tcPr>
            <w:tcW w:type="dxa" w:w="1606"/>
            <w:gridSpan w:val="2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right" w:pos="2891"/>
              </w:tabs>
              <w:spacing w:after="0" w:line="240" w:lineRule="auto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CURSO:  6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º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REA: Ingl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s</w:t>
            </w:r>
          </w:p>
        </w:tc>
        <w:tc>
          <w:tcPr>
            <w:tcW w:type="dxa" w:w="3368"/>
            <w:gridSpan w:val="3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UNIDAD:  Topic 8</w:t>
            </w:r>
          </w:p>
        </w:tc>
        <w:tc>
          <w:tcPr>
            <w:tcW w:type="dxa" w:w="10364"/>
            <w:gridSpan w:val="5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7030a0" w:sz="24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N: 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 ABRIL</w:t>
            </w:r>
          </w:p>
        </w:tc>
      </w:tr>
      <w:tr>
        <w:tblPrEx>
          <w:shd w:val="clear" w:color="auto" w:fill="d0ddef"/>
        </w:tblPrEx>
        <w:trPr>
          <w:trHeight w:val="405" w:hRule="atLeast"/>
        </w:trPr>
        <w:tc>
          <w:tcPr>
            <w:tcW w:type="dxa" w:w="479"/>
            <w:vMerge w:val="restart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Bloques</w:t>
            </w:r>
          </w:p>
        </w:tc>
        <w:tc>
          <w:tcPr>
            <w:tcW w:type="dxa" w:w="2384"/>
            <w:gridSpan w:val="2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CONTENIDOS</w:t>
            </w:r>
          </w:p>
        </w:tc>
        <w:tc>
          <w:tcPr>
            <w:tcW w:type="dxa" w:w="256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</w:t>
            </w:r>
          </w:p>
        </w:tc>
        <w:tc>
          <w:tcPr>
            <w:tcW w:type="dxa" w:w="1854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CRITERIOS DE EVALUACI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2072"/>
            <w:vMerge w:val="restart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EST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NDARES  APRENDIZAJE</w:t>
            </w:r>
          </w:p>
        </w:tc>
        <w:tc>
          <w:tcPr>
            <w:tcW w:type="dxa" w:w="8291"/>
            <w:gridSpan w:val="4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NIVELES DE ADQUISICI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516" w:hRule="atLeast"/>
        </w:trPr>
        <w:tc>
          <w:tcPr>
            <w:tcW w:type="dxa" w:w="479"/>
            <w:vMerge w:val="continue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384"/>
            <w:gridSpan w:val="2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56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1854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072"/>
            <w:vMerge w:val="continue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12" w:space="0" w:shadow="0" w:frame="0"/>
            </w:tcBorders>
            <w:shd w:val="clear" w:color="auto" w:fill="dfd8e8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EN V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AS DE ADQUISICI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ADQUIRIDO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AVANZADO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EXCELENTE</w:t>
            </w:r>
          </w:p>
        </w:tc>
      </w:tr>
      <w:tr>
        <w:tblPrEx>
          <w:shd w:val="clear" w:color="auto" w:fill="d0ddef"/>
        </w:tblPrEx>
        <w:trPr>
          <w:trHeight w:val="7102" w:hRule="atLeast"/>
        </w:trPr>
        <w:tc>
          <w:tcPr>
            <w:tcW w:type="dxa" w:w="479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1</w:t>
            </w:r>
          </w:p>
        </w:tc>
        <w:tc>
          <w:tcPr>
            <w:tcW w:type="dxa" w:w="2384"/>
            <w:gridSpan w:val="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Estrategias de comprensi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identificar vocabulario y gram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en el contexto; captar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y/o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 de diversas fuentes: un di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logo sobre un trabajo, una canci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sobre comida del mundo, un poema e identificar palabras hom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fonas, una presentaci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sobre la comida favorita de una persona.</w:t>
            </w:r>
          </w:p>
        </w:tc>
        <w:tc>
          <w:tcPr>
            <w:tcW w:type="dxa" w:w="256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1854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Conocer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y saber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aplicar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las estrategias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adecuadas para la comprensi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del sentido general,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o los puntos principales del texto.</w:t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Capta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sentido general y algunos detalles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de anuncios publicitarios sencillos sobre productos que le interesan.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Comprende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mensajes y anuncios p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blicos que contengan instrucciones, indicaciones u otro tipo de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-Comprende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de un di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logo y de un poema.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-Identifica palabras hom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fonas.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-Escucha de manera activa una presentaci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sobre la comida favorita de una persona.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Entiende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 que se le dice en transacciones habituales sencillas. </w:t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No capta el sentido general de anuncios publicitarios sencillos sobre productos que le interesan.</w:t>
            </w:r>
            <w:r>
              <w:rPr>
                <w:sz w:val="18"/>
                <w:szCs w:val="18"/>
              </w:rPr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Capta el sentido general de anuncios publicitarios sencillos sobre productos que le interesan.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Capta el sentido general y algunos detalles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de anuncios publicitarios sencillos sobre productos que le interesan.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Capta el sentido general y los detalles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de anuncios publicitarios sencillos sobre productos que le interesan.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2918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38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Funciones comunicativas: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pedir comida de forma educada.</w:t>
            </w:r>
          </w:p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Identificar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sentido general,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y los puntos principales en textos orales muy breves y sencillos en lengua est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ndar, con estructuras simples y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de uso muy frecuente sobre temas habituales y concretos.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Comprende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textos orales de 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cter informativo y es capaz de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extraer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global y algunos datos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ficos.</w:t>
            </w:r>
          </w:p>
        </w:tc>
        <w:tc>
          <w:tcPr>
            <w:tcW w:type="dxa" w:w="207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No entiende lo que se le dice en transacciones habituales sencillas</w:t>
            </w:r>
          </w:p>
        </w:tc>
        <w:tc>
          <w:tcPr>
            <w:tcW w:type="dxa" w:w="207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Entiende lo que se le dice en transacciones habituales sencillas.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Entiende habitualmente lo que se le dice en transacciones habituales sencillas.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Entiende siempre lo que se le dice en transacciones habituales sencillas.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2918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38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Estructuras sint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cticas: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Describing quantity (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too much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toomany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enough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):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She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s got too much rice. She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s got too many chillies. He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s got enough peanuts.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Present simple passive: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Durum wheat is grown in Italy. The packets aren't transported to shops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.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Language focus: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>adjetivos participios.</w:t>
            </w:r>
          </w:p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significados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comunes asociados a las 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propias de la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oral.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Identifica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y predecible que tiene lugar en su presencia en alg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espacio p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blico real o simulado sobre temas conocidos.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7030a0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 con mucha dificultad 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y predecible que tiene lugar en su presencia en alg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espacio p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blico real o simulado sobre temas conocidos.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nil"/>
              <w:right w:val="single" w:color="8064a2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 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y predecible que tiene lugar en su presencia en alg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espacio p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blico real o simulado sobre temas conocidos.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nil"/>
              <w:right w:val="single" w:color="8064a2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 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que tiene lugar en su presencia en alg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espacio p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blico real o simulado sobre temas conocidos.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nil"/>
              <w:right w:val="single" w:color="8064a2" w:sz="24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 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que tiene lugar en su presencia en alg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espacio p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blico real o simulado sobre temas conocidos.</w:t>
            </w:r>
          </w:p>
        </w:tc>
      </w:tr>
      <w:tr>
        <w:tblPrEx>
          <w:shd w:val="clear" w:color="auto" w:fill="d0ddef"/>
        </w:tblPrEx>
        <w:trPr>
          <w:trHeight w:val="4667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38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 relativo a: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Comida: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(cucumber, brown sugar, oil, peanuts, lime, spring onions, prawns, bean sprouts, chillies, garlic, noodles, pepper).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Paises y nacionalidades: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(France, French, Poland, Polish, China, Chinese, Spain, Spanish, Italy, Italian, India, Indian).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El proceso de preparar comida: (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grow, make, mix, add, cut, eat, cook, boil, serve).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Celebraciones: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(Holi, Burns Night, Hanukkah, rosewater, haggis).</w:t>
            </w:r>
          </w:p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Reconocer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xico oral de alta frecuencia relativo a situaciones cotidianas y temas habituales y concretos, y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utilizar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las indicaciones del contexto y de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contenida en el texto para hacerse una idea de los significados probables de palabras y expresiones que se desconocen.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Reconoce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 que se trabaja en la unidad (comida, pa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ì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ses y nacionalidades, celebraciones y las acciones relativas al proceso de cocinar).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nil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nil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nil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500" w:hRule="atLeast"/>
        </w:trPr>
        <w:tc>
          <w:tcPr>
            <w:tcW w:type="dxa" w:w="479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2</w:t>
            </w:r>
          </w:p>
        </w:tc>
        <w:tc>
          <w:tcPr>
            <w:tcW w:type="dxa" w:w="2384"/>
            <w:gridSpan w:val="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Estrategias de producci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 desarrollar la fluidez y la precisi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n: utilizar sustantivos contables e incontables para hablar de cantidades.</w:t>
            </w:r>
          </w:p>
        </w:tc>
        <w:tc>
          <w:tcPr>
            <w:tcW w:type="dxa" w:w="256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4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 saber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aplicar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las estrategias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para producir textos orales monol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gicos o dial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gicos muy breves y sencillos.</w:t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Hace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presentaciones breves y sencillas, previamente preparadas y ensayadas, sobre temas cotidianos o de su inter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s. </w:t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Participa de forma inconstante y con dificultad en interacciones orales muy sencillas y dirigidas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 y su entorno y a menudo muestra dificultades para respetar las normas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del intercambio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 o para mostrar respeto ante las producciones de las dem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 personas aunque se le indique.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</w:pP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Raramente usa elementos y recursos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y paraling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aunque sean muy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 y de forma guiada para facilitar la comprensi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y la expresi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(interacci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n) 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Participa, siguiendo un modelo dado, en interacciones orales muy breves y dirigidas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 o su entorno, respetando en ocasiones, si se le indica, las normas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del intercambio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stico, mostrando una actitud respetuosa ante las producciones de las dem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 personas, con las indicaciones y apoyo del profesor.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</w:pP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Con cierta frecuencia usa elementos y recursos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y paraling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Participa con iniciativa y cierta fluidez en interacciones orales muy sencillas y dirigidas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 o su entorno en situaciones de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predecibles y respeta habitualmente las normas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del intercambio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stico, mostrando, en la mayor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 de los casos, una actitud respetuosa ante las producciones propias y de las dem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personas.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Hace un uso frecuente de los elementos y recursos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y paraling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trabajados en clase.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Participa activamente y con soltura en interacciones orales dirigidas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 y su entorno en situaciones de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predecibles  y respeta siempre las normas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del intercambio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 trabajadas en el aula, mostrando por iniciativa propia una actitud respetuosa ante las producciones propias y de las dem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 personas.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Usa correctamente y de manera general los elementos y recursos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y paraling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trabajados en clase.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1930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384"/>
            <w:gridSpan w:val="2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Funciones comunicativas: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describir procesos, hablar de cantidades, pedir comida de forma educada.</w:t>
            </w:r>
          </w:p>
        </w:tc>
        <w:tc>
          <w:tcPr>
            <w:tcW w:type="dxa" w:w="256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Interactuar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de manera muy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sica, utilizando 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cnicas muy simples,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sticas o no verbales para iniciar, mantener o concluir una breve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Se desenvuelve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con relativa seguridad en situaciones cotidianas simples, reales o simuladas.</w:t>
            </w:r>
          </w:p>
        </w:tc>
        <w:tc>
          <w:tcPr>
            <w:tcW w:type="dxa" w:w="2072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7030a0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7030a0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7030a0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848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384"/>
            <w:gridSpan w:val="2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56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Participar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de manera simple y comprensible en conversaciones muy breves que requieran un intercambio directo de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en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reas de necesidad inmediata o sobre temas muy familiares, en un registro neutro o informal, utilizando expresiones y frases sencillas y de uso muy frecuente.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Responde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adecuadamente en situaciones de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Participa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en conversaciones cara a cara o por medios 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cnicos en las que se establece contacto social, se intercambia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personal y sobre asuntos cotidianos, se expresan sentimientos, se ofrece algo a alguien, se pide prestado algo, etc.</w:t>
            </w:r>
          </w:p>
        </w:tc>
        <w:tc>
          <w:tcPr>
            <w:tcW w:type="dxa" w:w="2072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Realiza breves creaciones con aspectos sonoros y de entonaci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en situaciones de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muy concretas de forma dirigida siguiendo un modelo y con ayuda.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2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Realiza creaciones orales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sicas con ayuda si la solicita, incluyendo aspectos sonoros,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de ritmo, acentuaci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y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entonaci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modelos dados y familiares con apoyo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auditivo, reconociendo y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reproduciendo, con cierta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correcci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que no impida la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n,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realizaciones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sticas propias de la lengua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extranjera.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2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Realiza creaciones orales, con cierta autonom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a, incluyendo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aspectos sonoros, de ritmo, acentuaci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y de entonaci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de forma bastante adecuada a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distintos contextos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comunicativos.</w:t>
            </w:r>
          </w:p>
        </w:tc>
        <w:tc>
          <w:tcPr>
            <w:tcW w:type="dxa" w:w="2072"/>
            <w:vMerge w:val="restart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Realiza creaciones orales de forma aut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noma y espont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nea con aspectos sonoros, de ritmo, acentuaci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y de entonaci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adecuados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 xml:space="preserve">a distintos contextos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comunicativos</w:t>
            </w:r>
          </w:p>
        </w:tc>
      </w:tr>
      <w:tr>
        <w:tblPrEx>
          <w:shd w:val="clear" w:color="auto" w:fill="d0ddef"/>
        </w:tblPrEx>
        <w:trPr>
          <w:trHeight w:val="1930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384"/>
            <w:gridSpan w:val="2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56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Hacerse entender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 intervenciones breves y sencillas, aunque se produzcan titubeos, vacilaciones, repeticiones o pausas para reorganizar el discurso.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Se hace entender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 intervenciones breves y sencillas sobre el tema de la unidad.</w:t>
            </w:r>
          </w:p>
        </w:tc>
        <w:tc>
          <w:tcPr>
            <w:tcW w:type="dxa" w:w="2072"/>
            <w:vMerge w:val="continue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072"/>
            <w:vMerge w:val="continue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072"/>
            <w:vMerge w:val="continue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072"/>
            <w:vMerge w:val="continue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</w:tcPr>
          <w:p/>
        </w:tc>
      </w:tr>
      <w:tr>
        <w:tblPrEx>
          <w:shd w:val="clear" w:color="auto" w:fill="d0ddef"/>
        </w:tblPrEx>
        <w:trPr>
          <w:trHeight w:val="2918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38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Estructuras sint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cticas: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Describing quantity (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too much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toomany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enough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):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She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s got too much rice. She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s got too many chillies. He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s got enough peanuts.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Present simple passive: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Durum wheat is grown in Italy. The packets aren't transported to shops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Language focus: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>adjetivos participios.</w:t>
            </w:r>
          </w:p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Manejar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aunque se sigan cometiendo errores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 de manera sistem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en, p.e., tiempos verbales o en la concordancia.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Utiliza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las 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del tema.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667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38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 relativo 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Comida: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(cucumber, brown sugar, oil, peanuts, lime, spring onions, prawns, bean sprouts, chillies, garlic, noodles, pepper).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Paises y nacionalidades: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(France, French, Poland, Polish, China, Chinese, Spain, Spanish, Italy, Italian, India, Indian).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El proceso de preparar comida: (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grow, make, mix, add, cut, eat, cook, boil, serve).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Celebraciones: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(Holi, Burns Night, Hanukkah, rosewater, haggis).</w:t>
            </w:r>
          </w:p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utilizar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oral de alta frecuencia relativo a situaciones cotidianas y temas habituales y concretos.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- Reconoce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 que se trabaja en la unidad (comida, pa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ses y nacionalidades, celebraciones y las acciones relativas al proceso de cocinar).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159" w:hRule="atLeast"/>
        </w:trPr>
        <w:tc>
          <w:tcPr>
            <w:tcW w:type="dxa" w:w="479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3</w:t>
            </w:r>
          </w:p>
        </w:tc>
        <w:tc>
          <w:tcPr>
            <w:tcW w:type="dxa" w:w="2384"/>
            <w:gridSpan w:val="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Estrategias de comprensi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desarrollar habilidades intensivas y extensas de comprensi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 diferentes tipos de textos: una receta, una historia animada, un art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culo sobre la historia de los noodles, un texto cross-curricular sobre el proceso de hacer spaghetti, una carta de agradecimiento.</w:t>
            </w:r>
          </w:p>
        </w:tc>
        <w:tc>
          <w:tcPr>
            <w:tcW w:type="dxa" w:w="256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ind w:left="15" w:firstLine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15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15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1854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 saber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aplicar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las estrategias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adecuadas para la comprensi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del sentido general,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o los puntos principales del texto.</w:t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Comprende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localiza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 en material informativo sencillo.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Comprende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correspondencia breve y sencilla que trate sobre temas familiares. 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Comprende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 esencial de historias breves y bien estructuradas siempre y cuando la imagen y la acci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conduzcan gran parte del argumento.</w:t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71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38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Funciones comunicativas: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una presentaci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sobre la comida favorita de una persona.</w:t>
            </w:r>
          </w:p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Identificar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el tema, el sentido general, las ideas principales e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 en textos, tanto en formato impreso como en soporte digital, en lengua est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ndar y con un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Identifica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el tema, el sentido general, las ideas principales e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 en textos.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918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38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Estructuras sint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cticas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: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Describing quantity (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too much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too many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enough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):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She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s got too much rice. She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s got too many chillies. He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s got enough peanuts.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Present simple passive: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Durum wheat is grown in Italy. The packets aren't transported to shops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Language focus: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>adjetivos participios.</w:t>
            </w:r>
          </w:p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significados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comunes asociados a las 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propias de la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escrita.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- Distingue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las 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propias de la unidad.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45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38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xico de alta frecuencia relativo a: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Comida: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(cucumber, brown sugar, oil, peanuts, lime, spring onions, prawns, bean sprouts, chillies, garlic, noodles, pepper).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Paises y nacionalidades: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(France, French, Poland, Polish, China, Chinese, Spain, Spanish, Italy, Italian, India, Indian).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El proceso de preparar comida: (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grow, make, mix, add, cut, eat, cook, boil, serve).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Celebraciones: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(Holi, Burns Night, Hanukkah, rosewater, haggis).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SCS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escrito de alta frecuencia relativo a situaciones cotidianas y temas habituales y concretos, e inferir del contexto y de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contenida en el texto los significados probables de palabras y expresiones que se desconocen.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Reconoce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 relativo al tema.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147" w:hRule="atLeast"/>
        </w:trPr>
        <w:tc>
          <w:tcPr>
            <w:tcW w:type="dxa" w:w="479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nil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4</w:t>
            </w:r>
          </w:p>
        </w:tc>
        <w:tc>
          <w:tcPr>
            <w:tcW w:type="dxa" w:w="2384"/>
            <w:gridSpan w:val="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Estrategias de producci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n: componer textos propios, progresivamente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extensos y ricos en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y estructuras: una cr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a una historia, una receta. Identificar y escribir palabras relacionadas con comida de diferentes pa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ses.</w:t>
            </w:r>
          </w:p>
        </w:tc>
        <w:tc>
          <w:tcPr>
            <w:tcW w:type="dxa" w:w="256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4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aplicar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las estrategias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para producir textos escritos muy breves y sencillos.</w:t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Escribe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con un modelo correspondencia personal breve y simple en la que da las gracias, felicita a alguien, hace una invitaci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n, o habla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mismo y de su entorno inmediato. 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Construye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textos narrativos sencillos reproduciendo estructuras y/o andamiajes previamente trabajados. 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Escribe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, bas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ndose en un modelo, textos breves de 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cter informativo sobre temas trabajados previamente.</w:t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647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nil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38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Funciones comunicativas: preparar una presentaci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sobre la comida favorita del alumno.</w:t>
            </w:r>
          </w:p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Construir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, en papel o en soporte electr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nico, textos muy cortos y sencillos, compuestos de frases simples aisladas, en un registro neutro o informal, utilizando con razonable correcci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las convenciones ortogr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y los principales signos de puntuaci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n,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mismo, de su entorno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inmediato y de aspectos de su vida cotidiana.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Construye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textos muy cortos y sencillos sobre su comida favorita.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918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nil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38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Estructuras sint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cticas: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Describing quantity (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too much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toomany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enough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):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She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s got too much rice. She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s got too many chillies. He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s got enough peanuts.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Present simple passive: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Durum wheat is grown in Italy. The packets aren't transported to shops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Language focus: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>adjetivos participios.</w:t>
            </w:r>
          </w:p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Manejar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sicas, aunque se sigan cometiendo errores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 de manera sistem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en, p. e., tiempos verbales o en la concordancia.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Maneja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con correcci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las 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trabajadas en la unidad.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647" w:hRule="atLeast"/>
        </w:trPr>
        <w:tc>
          <w:tcPr>
            <w:tcW w:type="dxa" w:w="479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nil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384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 relativo 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: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Comida: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(cucumber, brown sugar, oil, peanuts, lime, spring onions, prawns, bean sprouts, chillies, garlic, noodles, pepper).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Paises y nacionalidades: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(France, French, Poland, Polish, China, Chinese, Spain, Spanish, Italy, Italian, India, Indian).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El proceso de preparar comida: (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grow, make, mix, add, cut, eat, cook, boil, serve).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Celebraciones: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(Holi, Burns Night, Hanukkah, rosewater, haggis).</w:t>
            </w:r>
          </w:p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utilizar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escrito de alta frecuencia relativo a situaciones cotidianas y temas habituales y concretos.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Conoce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utiliza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el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trabajado de forma eficiente.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widowControl w:val="0"/>
        <w:spacing w:after="0" w:line="240" w:lineRule="auto"/>
      </w:pPr>
    </w:p>
    <w:p>
      <w:pPr>
        <w:pStyle w:val="Cuerpo"/>
      </w:pPr>
    </w:p>
    <w:tbl>
      <w:tblPr>
        <w:tblW w:w="155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05"/>
        <w:gridCol w:w="4395"/>
        <w:gridCol w:w="4677"/>
        <w:gridCol w:w="4535"/>
      </w:tblGrid>
      <w:tr>
        <w:tblPrEx>
          <w:shd w:val="clear" w:color="auto" w:fill="d0ddef"/>
        </w:tblPrEx>
        <w:trPr>
          <w:trHeight w:val="3219" w:hRule="atLeast"/>
        </w:trPr>
        <w:tc>
          <w:tcPr>
            <w:tcW w:type="dxa" w:w="1905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Orientaciones metodol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gicas</w:t>
            </w:r>
          </w:p>
        </w:tc>
        <w:tc>
          <w:tcPr>
            <w:tcW w:type="dxa" w:w="4395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Modelo metodol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gico</w:t>
            </w: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Modelo discursivo/expositivo.</w:t>
            </w:r>
          </w:p>
          <w:p>
            <w:pPr>
              <w:pStyle w:val="Cuerpo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Modelo experiencial.</w:t>
            </w:r>
          </w:p>
          <w:p>
            <w:pPr>
              <w:pStyle w:val="Cuerpo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Talleres.</w:t>
            </w:r>
          </w:p>
          <w:p>
            <w:pPr>
              <w:pStyle w:val="Cuerpo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Aprendizaje cooperativo.</w:t>
            </w:r>
          </w:p>
          <w:p>
            <w:pPr>
              <w:pStyle w:val="Cuerpo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Trabajo por tareas.</w:t>
            </w:r>
          </w:p>
          <w:p>
            <w:pPr>
              <w:pStyle w:val="Cuerpo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Trabajo por proyectos.</w:t>
            </w:r>
          </w:p>
        </w:tc>
        <w:tc>
          <w:tcPr>
            <w:tcW w:type="dxa" w:w="4677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Procedimientos metodol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gicos</w:t>
            </w:r>
          </w:p>
          <w:p>
            <w:pPr>
              <w:pStyle w:val="Cuerpo"/>
              <w:spacing w:after="0" w:line="36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Participaci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Personalizaci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Interacci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Significatividad.</w:t>
            </w:r>
          </w:p>
          <w:p>
            <w:pPr>
              <w:pStyle w:val="Cuerpo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Funcionalidad.</w:t>
            </w:r>
          </w:p>
          <w:p>
            <w:pPr>
              <w:pStyle w:val="Cuerpo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Globalizaci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4535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Agrupamientos</w:t>
            </w: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Tareas individuales.</w:t>
            </w:r>
          </w:p>
          <w:p>
            <w:pPr>
              <w:pStyle w:val="Cuerpo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Agrupamiento flexible.</w:t>
            </w:r>
          </w:p>
          <w:p>
            <w:pPr>
              <w:pStyle w:val="Cuerpo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Parejas.</w:t>
            </w:r>
          </w:p>
          <w:p>
            <w:pPr>
              <w:pStyle w:val="Cuerpo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Peque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o grupo.</w:t>
            </w:r>
          </w:p>
          <w:p>
            <w:pPr>
              <w:pStyle w:val="Cuerpo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Gran grupo.</w:t>
            </w:r>
          </w:p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</w:pPr>
    </w:p>
    <w:tbl>
      <w:tblPr>
        <w:tblW w:w="1540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010"/>
        <w:gridCol w:w="3675"/>
        <w:gridCol w:w="3180"/>
        <w:gridCol w:w="2835"/>
        <w:gridCol w:w="3701"/>
      </w:tblGrid>
      <w:tr>
        <w:tblPrEx>
          <w:shd w:val="clear" w:color="auto" w:fill="d0ddef"/>
        </w:tblPrEx>
        <w:trPr>
          <w:trHeight w:val="3391" w:hRule="atLeast"/>
        </w:trPr>
        <w:tc>
          <w:tcPr>
            <w:tcW w:type="dxa" w:w="2010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Contenidos transversales</w:t>
            </w:r>
          </w:p>
        </w:tc>
        <w:tc>
          <w:tcPr>
            <w:tcW w:type="dxa" w:w="3675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Comprensi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lectora, expresi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oral y escrita</w:t>
            </w: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Superaci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del miedo, inseguridad, timidez en la expresi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oral.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squeda del significado a trav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 del contexto.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Investigaci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personal del vocabulario desconocido en diccionarios biling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ü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es.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Uso de modelos para la realizaci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los trabajos propios.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3180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Comunicaci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audiovisual y TIC</w:t>
            </w: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Uso de la  tecnolog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  en el desarrollo de los contenidos tanto dentro como fuera del aula.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835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Emprendimiento</w:t>
            </w: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Realizaci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las tareas escolares de forma aut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noma.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Presentaci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trabajos de forma creativa ,  ordenada y limpia.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Recopilaci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los trabajos realizados durante la unidad de forma ordenada  incorporando  lo  aprendido  a los conocimientos previos.</w:t>
            </w:r>
          </w:p>
        </w:tc>
        <w:tc>
          <w:tcPr>
            <w:tcW w:type="dxa" w:w="3701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Educaci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c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vica y constitucional</w:t>
            </w:r>
          </w:p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Respeto por los trabajos de los dem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Respeto a otras culturas  y/o ideas.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positiva del uso del idioma por parte de los compa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eros.</w:t>
            </w:r>
          </w:p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hd w:val="nil" w:color="auto" w:fill="auto"/>
                <w:lang w:val="es-ES_tradnl"/>
              </w:rPr>
            </w:r>
          </w:p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</w:pPr>
    </w:p>
    <w:tbl>
      <w:tblPr>
        <w:tblW w:w="154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764"/>
        <w:gridCol w:w="12636"/>
      </w:tblGrid>
      <w:tr>
        <w:tblPrEx>
          <w:shd w:val="clear" w:color="auto" w:fill="d0ddef"/>
        </w:tblPrEx>
        <w:trPr>
          <w:trHeight w:val="320" w:hRule="atLeast"/>
        </w:trPr>
        <w:tc>
          <w:tcPr>
            <w:tcW w:type="dxa" w:w="2764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T.I.C.s</w:t>
            </w:r>
          </w:p>
        </w:tc>
        <w:tc>
          <w:tcPr>
            <w:tcW w:type="dxa" w:w="12635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squeda en la web de recetas con pasta, ej.: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"http://goo.gl/nMRTcK"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s-ES_tradnl"/>
              </w:rPr>
              <w:t>http://goo.gl/nMRTcK</w:t>
            </w:r>
            <w:r>
              <w:rPr/>
              <w:fldChar w:fldCharType="end" w:fldLock="0"/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, 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"http://goo.gl/OvmsP3"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s-ES_tradnl"/>
              </w:rPr>
              <w:t>http://goo.gl/OvmsP3</w:t>
            </w:r>
            <w:r>
              <w:rPr/>
              <w:fldChar w:fldCharType="end" w:fldLock="0"/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, </w:t>
            </w:r>
          </w:p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  <w:jc w:val="both"/>
      </w:pPr>
      <w:bookmarkStart w:name="h.gjdgxs" w:id="0"/>
      <w:bookmarkEnd w:id="0"/>
    </w:p>
    <w:p>
      <w:pPr>
        <w:pStyle w:val="Cuerpo"/>
        <w:jc w:val="both"/>
      </w:pPr>
    </w:p>
    <w:tbl>
      <w:tblPr>
        <w:tblW w:w="153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650"/>
        <w:gridCol w:w="5085"/>
        <w:gridCol w:w="4245"/>
        <w:gridCol w:w="4414"/>
      </w:tblGrid>
      <w:tr>
        <w:tblPrEx>
          <w:shd w:val="clear" w:color="auto" w:fill="d0ddef"/>
        </w:tblPrEx>
        <w:trPr>
          <w:trHeight w:val="3651" w:hRule="atLeast"/>
        </w:trPr>
        <w:tc>
          <w:tcPr>
            <w:tcW w:type="dxa" w:w="1650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Recursos  para la evaluaci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5085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Procedimiento de evaluaci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Observaci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directa del trabajo diario.</w:t>
            </w:r>
          </w:p>
          <w:p>
            <w:pPr>
              <w:pStyle w:val="Cuerpo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An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lisis y 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tareas especialmente creadas para la evaluaci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cuantitativa del avance individual.</w:t>
            </w:r>
          </w:p>
          <w:p>
            <w:pPr>
              <w:pStyle w:val="Cuerpo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cualitativa del avance individual.</w:t>
            </w:r>
          </w:p>
          <w:p>
            <w:pPr>
              <w:pStyle w:val="Cuerpo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cuantitativa del avance colectivo.</w:t>
            </w:r>
          </w:p>
          <w:p>
            <w:pPr>
              <w:pStyle w:val="Cuerpo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cualitativa del avance colectivo.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4245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Instrumentos de evaluaci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Observaci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directa del alumno.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brica de la unidad.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Pruebas correspondientes a la unidad.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Prueba de evaluaci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por competencias correspondientes a la unidad.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Otros documentos.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Intervenciones.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Proyectos personales.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Proyectos grupales.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Representaciones dramatizaciones.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Elaboraciones multimedia.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Producciones con tics.</w:t>
            </w:r>
          </w:p>
        </w:tc>
        <w:tc>
          <w:tcPr>
            <w:tcW w:type="dxa" w:w="4414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Sistema de calificaci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Calificaci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cualitativa</w:t>
            </w:r>
          </w:p>
          <w:p>
            <w:pPr>
              <w:pStyle w:val="Cuerpo"/>
              <w:numPr>
                <w:ilvl w:val="1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bricas de la unidad.</w:t>
            </w:r>
          </w:p>
          <w:p>
            <w:pPr>
              <w:pStyle w:val="Cuerpo"/>
              <w:numPr>
                <w:ilvl w:val="1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Pruebas de evaluaci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por competencias.</w:t>
            </w:r>
          </w:p>
          <w:p>
            <w:pPr>
              <w:pStyle w:val="Cuerpo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Calificaci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cuantitativa:</w:t>
            </w:r>
          </w:p>
          <w:p>
            <w:pPr>
              <w:pStyle w:val="Cuerpo"/>
              <w:bidi w:val="0"/>
              <w:spacing w:after="0" w:line="240" w:lineRule="auto"/>
              <w:ind w:left="335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En las pruebas de control cada actividad se calificar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con el punto asignado si es correcto o menos si est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incompleto pero no faltan elementos esenciales.</w:t>
            </w:r>
          </w:p>
        </w:tc>
      </w:tr>
    </w:tbl>
    <w:p>
      <w:pPr>
        <w:pStyle w:val="Cuerpo"/>
        <w:widowControl w:val="0"/>
        <w:spacing w:line="240" w:lineRule="auto"/>
        <w:jc w:val="both"/>
      </w:pPr>
    </w:p>
    <w:p>
      <w:pPr>
        <w:pStyle w:val="Cuerpo"/>
      </w:pPr>
    </w:p>
    <w:tbl>
      <w:tblPr>
        <w:tblW w:w="153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650"/>
        <w:gridCol w:w="13744"/>
      </w:tblGrid>
      <w:tr>
        <w:tblPrEx>
          <w:shd w:val="clear" w:color="auto" w:fill="d0ddef"/>
        </w:tblPrEx>
        <w:trPr>
          <w:trHeight w:val="1191" w:hRule="atLeast"/>
        </w:trPr>
        <w:tc>
          <w:tcPr>
            <w:tcW w:type="dxa" w:w="1650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Atenci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 a la diversidad</w:t>
            </w:r>
          </w:p>
        </w:tc>
        <w:tc>
          <w:tcPr>
            <w:tcW w:type="dxa" w:w="13744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both"/>
              <w:rPr>
                <w:sz w:val="14"/>
                <w:szCs w:val="14"/>
                <w:rtl w:val="0"/>
                <w:lang w:val="es-ES_tradnl"/>
              </w:rPr>
            </w:pPr>
            <w:r>
              <w:rPr>
                <w:rStyle w:val="Ninguno"/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Utilizaci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 actividades de refuerzo o ampliaci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las necesidades de cada alumno.</w:t>
            </w:r>
          </w:p>
          <w:p>
            <w:pPr>
              <w:pStyle w:val="Cuerpo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both"/>
              <w:rPr>
                <w:sz w:val="18"/>
                <w:szCs w:val="18"/>
                <w:rtl w:val="0"/>
                <w:lang w:val="es-ES_tradnl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Organizaci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flexible del aula.</w:t>
            </w:r>
          </w:p>
          <w:p>
            <w:pPr>
              <w:pStyle w:val="Cuerpo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both"/>
              <w:rPr>
                <w:sz w:val="18"/>
                <w:szCs w:val="18"/>
                <w:rtl w:val="0"/>
                <w:lang w:val="es-ES_tradnl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Refuerzos positivos para el reconocimiento del esfuerzo de los alumnos con ritmo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lento.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</w:pPr>
    </w:p>
    <w:tbl>
      <w:tblPr>
        <w:tblW w:w="1539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565"/>
        <w:gridCol w:w="2566"/>
        <w:gridCol w:w="2565"/>
        <w:gridCol w:w="2566"/>
        <w:gridCol w:w="2565"/>
        <w:gridCol w:w="2566"/>
      </w:tblGrid>
      <w:tr>
        <w:tblPrEx>
          <w:shd w:val="clear" w:color="auto" w:fill="d0ddef"/>
        </w:tblPrEx>
        <w:trPr>
          <w:trHeight w:val="280" w:hRule="atLeast"/>
        </w:trPr>
        <w:tc>
          <w:tcPr>
            <w:tcW w:type="dxa" w:w="15393"/>
            <w:gridSpan w:val="6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INDICADORES DE LOGRO. R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bricas de evaluaci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500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Est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ndares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aprendizaje</w:t>
            </w:r>
          </w:p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Nivel 1</w:t>
            </w:r>
          </w:p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Nivel 2</w:t>
            </w:r>
          </w:p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Nivel 3</w:t>
            </w:r>
          </w:p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Nivel 4</w:t>
            </w:r>
          </w:p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Calificaci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  <w:jc w:val="both"/>
      </w:pPr>
    </w:p>
    <w:p>
      <w:pPr>
        <w:pStyle w:val="Cuerpo"/>
      </w:pPr>
    </w:p>
    <w:tbl>
      <w:tblPr>
        <w:tblW w:w="153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701"/>
        <w:gridCol w:w="384"/>
        <w:gridCol w:w="385"/>
        <w:gridCol w:w="385"/>
        <w:gridCol w:w="384"/>
        <w:gridCol w:w="385"/>
        <w:gridCol w:w="385"/>
        <w:gridCol w:w="385"/>
      </w:tblGrid>
      <w:tr>
        <w:tblPrEx>
          <w:shd w:val="clear" w:color="auto" w:fill="d0ddef"/>
        </w:tblPrEx>
        <w:trPr>
          <w:trHeight w:val="400" w:hRule="atLeast"/>
        </w:trPr>
        <w:tc>
          <w:tcPr>
            <w:tcW w:type="dxa" w:w="12701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Dise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o de actividades</w:t>
            </w:r>
          </w:p>
        </w:tc>
        <w:tc>
          <w:tcPr>
            <w:tcW w:type="dxa" w:w="2693"/>
            <w:gridSpan w:val="7"/>
            <w:tcBorders>
              <w:top w:val="single" w:color="7030a0" w:sz="24" w:space="0" w:shadow="0" w:frame="0"/>
              <w:left w:val="single" w:color="8064a2" w:sz="18" w:space="0" w:shadow="0" w:frame="0"/>
              <w:bottom w:val="nil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Competencias</w:t>
            </w:r>
          </w:p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12701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</w:tcPr>
          <w:p/>
        </w:tc>
        <w:tc>
          <w:tcPr>
            <w:tcW w:type="dxa" w:w="384"/>
            <w:tcBorders>
              <w:top w:val="nil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1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2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3</w:t>
            </w:r>
          </w:p>
        </w:tc>
        <w:tc>
          <w:tcPr>
            <w:tcW w:type="dxa" w:w="384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4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5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6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7</w:t>
            </w:r>
          </w:p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Actividades de calentamiento (warm-up activities) donde se repasa con los alumnos el vocabulario aprendido anteriormente y estructuras relacionadas con el tema.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Afianzamiento del vocabulario a trav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 de juegos (missing word, family cards, spelling games,...), preguntas, diccionario propio, etc. dentro de un contexto.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Escuchar un di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logo corto para identificar el vocabulario aprendido.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Lectura de un texto para identificar el vocabulario e inquirir el significado de otras palabras a trav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 del contexto.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En las lecturas subrayar y anotar  aquellas expresiones no conocidas para ir afianzando su aprendizaje.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Reordenar frases o p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rrafos. Una vez le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do y trabajado el texto se les da a los alumnos el mismo texto cortado en tiras para que lo ordenen de la forma correcta. Dependiendo de los niveles se les dar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dicho texto dividido en p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rrafos o en oraciones.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Con una amplia lista de palabras (divididas en grupos seg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su funci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gramatical) los alumnos en grupos de cuatro intentar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ordenarlas para formar una 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 De esta forma los alumnos deducir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las diferentes estructuras gramaticales del ingl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En parejas trabajar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n el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“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speaking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”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mediante la descripci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una l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mina, proyecci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n, p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ster,... resaltado las estructuras gramaticales.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Lectura de un texto corto para poder hacer un escrito similar prestando especial atenci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al vocabulario y la gram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tica. Al finalizar se leer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en clase y se expondr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en la misma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Visionado de un corto para trabajar la comprensi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 La intenci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es captar el 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ximo de detalles con la ayuda de un contexto favorecido por los efectos sonoros y la aportaci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la imagen en movimiento.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Role-play. Escenificaci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en peque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os grupos del 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deo visto.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squeda en internet sobre c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mo los aspectos trabajados son realizados/afrontados en otros pa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ses. La recopilaci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dicha informaci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se expondr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en clase con ayuda de un cartel que tienen que realizar y que luego quedar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expuesto en el aula.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Recitar poemas, trabalenguas, rimas con el fin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ltimo de practicar el sonido de ciertas letras,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“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consonant clusters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”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y grupos f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nicos.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Repaso del tema y  aclaraciones de dudas que se pueden tener.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tbl>
      <w:tblPr>
        <w:tblW w:w="1543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866"/>
        <w:gridCol w:w="508"/>
        <w:gridCol w:w="3090"/>
        <w:gridCol w:w="3090"/>
        <w:gridCol w:w="2010"/>
        <w:gridCol w:w="1080"/>
        <w:gridCol w:w="2791"/>
      </w:tblGrid>
      <w:tr>
        <w:tblPrEx>
          <w:shd w:val="clear" w:color="auto" w:fill="d0ddef"/>
        </w:tblPrEx>
        <w:trPr>
          <w:trHeight w:val="525" w:hRule="atLeast"/>
        </w:trPr>
        <w:tc>
          <w:tcPr>
            <w:tcW w:type="dxa" w:w="2866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right" w:pos="2891"/>
              </w:tabs>
              <w:spacing w:after="0" w:line="240" w:lineRule="auto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CURSO: 6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º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REA: </w:t>
            </w:r>
          </w:p>
        </w:tc>
        <w:tc>
          <w:tcPr>
            <w:tcW w:type="dxa" w:w="8698"/>
            <w:gridSpan w:val="4"/>
            <w:tcBorders>
              <w:top w:val="single" w:color="7030a0" w:sz="24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UNIDAD: Topic 1</w:t>
            </w:r>
          </w:p>
        </w:tc>
        <w:tc>
          <w:tcPr>
            <w:tcW w:type="dxa" w:w="3871"/>
            <w:gridSpan w:val="2"/>
            <w:tcBorders>
              <w:top w:val="single" w:color="7030a0" w:sz="24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N: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Lunes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Martes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rcoles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Jueves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Viernes</w:t>
            </w:r>
          </w:p>
        </w:tc>
      </w:tr>
      <w:tr>
        <w:tblPrEx>
          <w:shd w:val="clear" w:color="auto" w:fill="d0ddef"/>
        </w:tblPrEx>
        <w:trPr>
          <w:trHeight w:val="138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128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138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128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138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58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nil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Reuni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de ciclo.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nil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Reuni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de nivel.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nil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Curso de formaci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nil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Trabajo personal.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nil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Reuni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 de padres.</w:t>
            </w:r>
          </w:p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  <w:jc w:val="both"/>
      </w:pPr>
      <w:r/>
    </w:p>
    <w:sectPr>
      <w:headerReference w:type="default" r:id="rId4"/>
      <w:footerReference w:type="default" r:id="rId5"/>
      <w:pgSz w:w="16840" w:h="11900" w:orient="landscape"/>
      <w:pgMar w:top="720" w:right="720" w:bottom="720" w:left="72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3400" cy="75565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3400" cy="75565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842.0pt;height:595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4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6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48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0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2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64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6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8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5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7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49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1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3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65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7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9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618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33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05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77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49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21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493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65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●"/>
      <w:lvlJc w:val="left"/>
      <w:pPr>
        <w:ind w:left="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6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3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0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8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5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2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9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6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6"/>
    <w:lvlOverride w:ilvl="0">
      <w:lvl w:ilvl="0">
        <w:start w:val="1"/>
        <w:numFmt w:val="bullet"/>
        <w:suff w:val="tab"/>
        <w:lvlText w:val="●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○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■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○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■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○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■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character" w:styleId="Hyperlink.0">
    <w:name w:val="Hyperlink.0"/>
    <w:basedOn w:val="Ninguno"/>
    <w:next w:val="Hyperlink.0"/>
    <w:rPr>
      <w:rFonts w:ascii="Calibri" w:cs="Calibri" w:hAnsi="Calibri" w:eastAsia="Calibri"/>
      <w:outline w:val="0"/>
      <w:color w:val="1155cc"/>
      <w:u w:val="single" w:color="1155cc"/>
      <w:shd w:val="nil" w:color="auto" w:fill="auto"/>
      <w:lang w:val="es-ES_tradnl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