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6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32"/>
        <w:gridCol w:w="1843"/>
        <w:gridCol w:w="709"/>
        <w:gridCol w:w="122"/>
        <w:gridCol w:w="2429"/>
        <w:gridCol w:w="2268"/>
        <w:gridCol w:w="1985"/>
        <w:gridCol w:w="1842"/>
        <w:gridCol w:w="1560"/>
        <w:gridCol w:w="2126"/>
      </w:tblGrid>
      <w:tr w:rsidR="00FA01B2" w:rsidTr="00FA01B2">
        <w:trPr>
          <w:trHeight w:val="540"/>
        </w:trPr>
        <w:tc>
          <w:tcPr>
            <w:tcW w:w="3606" w:type="dxa"/>
            <w:gridSpan w:val="4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A01B2" w:rsidRDefault="00FA01B2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:rsidR="00FA01B2" w:rsidRDefault="00FA01B2" w:rsidP="000B03BF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ÁREA:  MATEMÁTICAS</w:t>
            </w:r>
          </w:p>
        </w:tc>
        <w:tc>
          <w:tcPr>
            <w:tcW w:w="2429" w:type="dxa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A01B2" w:rsidRDefault="00FA01B2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UNIDAD:  4                         DIVISIBILIDAD</w:t>
            </w:r>
          </w:p>
        </w:tc>
        <w:tc>
          <w:tcPr>
            <w:tcW w:w="9781" w:type="dxa"/>
            <w:gridSpan w:val="5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FA01B2" w:rsidRDefault="00FA01B2" w:rsidP="00AE314F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2ª QUINCENA</w:t>
            </w:r>
            <w:r w:rsidRPr="000B03BF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DE NOVIEMBRE</w:t>
            </w:r>
          </w:p>
        </w:tc>
      </w:tr>
      <w:tr w:rsidR="00FA01B2" w:rsidTr="00FA01B2">
        <w:trPr>
          <w:trHeight w:val="520"/>
        </w:trPr>
        <w:tc>
          <w:tcPr>
            <w:tcW w:w="932" w:type="dxa"/>
            <w:vMerge w:val="restart"/>
            <w:tcBorders>
              <w:top w:val="single" w:sz="8" w:space="0" w:color="8064A2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55241D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1843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55241D">
            <w:pPr>
              <w:spacing w:after="0" w:line="240" w:lineRule="auto"/>
              <w:jc w:val="center"/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55241D">
            <w:pPr>
              <w:spacing w:after="0" w:line="240" w:lineRule="auto"/>
              <w:jc w:val="center"/>
            </w:pPr>
            <w:r>
              <w:rPr>
                <w:b/>
              </w:rPr>
              <w:t>CP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55241D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  <w:tc>
          <w:tcPr>
            <w:tcW w:w="2268" w:type="dxa"/>
            <w:vMerge w:val="restart"/>
            <w:tcBorders>
              <w:top w:val="single" w:sz="1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FA01B2" w:rsidRDefault="00FA01B2" w:rsidP="0055241D">
            <w:pPr>
              <w:spacing w:after="0" w:line="240" w:lineRule="auto"/>
              <w:jc w:val="center"/>
            </w:pPr>
            <w:r>
              <w:rPr>
                <w:b/>
              </w:rPr>
              <w:t>ESTÁNDARES APRENDIZAJE</w:t>
            </w:r>
          </w:p>
        </w:tc>
        <w:tc>
          <w:tcPr>
            <w:tcW w:w="7513" w:type="dxa"/>
            <w:gridSpan w:val="4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FA01B2" w:rsidRDefault="00FA01B2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NIVELES DE ADQUISICIÓN</w:t>
            </w:r>
          </w:p>
        </w:tc>
      </w:tr>
      <w:tr w:rsidR="00FA01B2" w:rsidTr="00FA01B2">
        <w:trPr>
          <w:trHeight w:val="474"/>
        </w:trPr>
        <w:tc>
          <w:tcPr>
            <w:tcW w:w="932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FA01B2" w:rsidRDefault="00FA01B2" w:rsidP="0055241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843" w:type="dxa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FA01B2" w:rsidRDefault="00FA01B2" w:rsidP="000B03BF">
            <w:pPr>
              <w:autoSpaceDE w:val="0"/>
              <w:autoSpaceDN w:val="0"/>
              <w:adjustRightInd w:val="0"/>
              <w:spacing w:after="106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A01B2" w:rsidRDefault="00FA01B2" w:rsidP="000B03BF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FA01B2" w:rsidRDefault="00FA01B2" w:rsidP="00F1744D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FA01B2" w:rsidRPr="000B03BF" w:rsidRDefault="00FA01B2" w:rsidP="00F1744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ind w:hanging="227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FA01B2" w:rsidRDefault="00FA01B2" w:rsidP="00FA01B2">
            <w:pPr>
              <w:spacing w:after="0" w:line="240" w:lineRule="auto"/>
              <w:jc w:val="center"/>
              <w:rPr>
                <w:b/>
              </w:rPr>
            </w:pPr>
            <w:r w:rsidRPr="00FA01B2">
              <w:rPr>
                <w:b/>
              </w:rPr>
              <w:t>EN VÍAS DE DESARROLLO</w:t>
            </w:r>
          </w:p>
        </w:tc>
        <w:tc>
          <w:tcPr>
            <w:tcW w:w="1842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FA01B2" w:rsidRDefault="00FA01B2" w:rsidP="00FA01B2">
            <w:pPr>
              <w:spacing w:after="0" w:line="240" w:lineRule="auto"/>
              <w:jc w:val="center"/>
              <w:rPr>
                <w:b/>
              </w:rPr>
            </w:pPr>
            <w:r w:rsidRPr="00FA01B2">
              <w:rPr>
                <w:b/>
              </w:rPr>
              <w:t>ADQUIRIDO</w:t>
            </w:r>
          </w:p>
        </w:tc>
        <w:tc>
          <w:tcPr>
            <w:tcW w:w="1560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FA01B2" w:rsidRDefault="00FA01B2" w:rsidP="00FA01B2">
            <w:pPr>
              <w:spacing w:after="0" w:line="240" w:lineRule="auto"/>
              <w:jc w:val="center"/>
              <w:rPr>
                <w:b/>
              </w:rPr>
            </w:pPr>
            <w:r w:rsidRPr="00FA01B2">
              <w:rPr>
                <w:b/>
              </w:rPr>
              <w:t>AVANZADO</w:t>
            </w:r>
          </w:p>
        </w:tc>
        <w:tc>
          <w:tcPr>
            <w:tcW w:w="2126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FA01B2" w:rsidRDefault="00FA01B2" w:rsidP="00FA01B2">
            <w:pPr>
              <w:spacing w:after="0" w:line="240" w:lineRule="auto"/>
              <w:jc w:val="center"/>
              <w:rPr>
                <w:b/>
              </w:rPr>
            </w:pPr>
            <w:r w:rsidRPr="00FA01B2">
              <w:rPr>
                <w:b/>
              </w:rPr>
              <w:t>EXCELENTE</w:t>
            </w:r>
          </w:p>
        </w:tc>
      </w:tr>
      <w:tr w:rsidR="00FA01B2" w:rsidTr="00FA01B2">
        <w:trPr>
          <w:trHeight w:val="1324"/>
        </w:trPr>
        <w:tc>
          <w:tcPr>
            <w:tcW w:w="932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FA01B2" w:rsidRDefault="00FA01B2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FA01B2" w:rsidRDefault="00FA01B2" w:rsidP="00FA01B2">
            <w:p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</w:p>
          <w:p w:rsidR="00FA01B2" w:rsidRDefault="00FA01B2" w:rsidP="00FA01B2">
            <w:p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</w:p>
          <w:p w:rsidR="00FA01B2" w:rsidRPr="000B03BF" w:rsidRDefault="00FA01B2" w:rsidP="00FA01B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FA01B2" w:rsidRPr="000B03BF" w:rsidRDefault="00FA01B2" w:rsidP="00FA01B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Elaboración e interpretación de tablas a partir de informaciones.</w:t>
            </w:r>
          </w:p>
          <w:p w:rsidR="00FA01B2" w:rsidRPr="000B03BF" w:rsidRDefault="00FA01B2" w:rsidP="00FA01B2">
            <w:pPr>
              <w:pStyle w:val="Tex"/>
              <w:numPr>
                <w:ilvl w:val="0"/>
                <w:numId w:val="12"/>
              </w:numPr>
              <w:spacing w:line="276" w:lineRule="auto"/>
              <w:ind w:right="0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0B03BF">
              <w:rPr>
                <w:rFonts w:ascii="Calibri" w:hAnsi="Calibri"/>
                <w:sz w:val="18"/>
                <w:szCs w:val="18"/>
              </w:rPr>
              <w:t>Expresión de razonamientos matemáticos.</w:t>
            </w:r>
          </w:p>
          <w:p w:rsidR="00FA01B2" w:rsidRDefault="00FA01B2" w:rsidP="00FA01B2">
            <w:pPr>
              <w:spacing w:after="0" w:line="240" w:lineRule="auto"/>
              <w:rPr>
                <w:sz w:val="18"/>
                <w:szCs w:val="18"/>
              </w:rPr>
            </w:pPr>
          </w:p>
          <w:p w:rsidR="00FA01B2" w:rsidRDefault="00FA01B2" w:rsidP="00FA01B2">
            <w:pPr>
              <w:spacing w:after="0" w:line="240" w:lineRule="auto"/>
              <w:rPr>
                <w:sz w:val="18"/>
                <w:szCs w:val="18"/>
              </w:rPr>
            </w:pPr>
          </w:p>
          <w:p w:rsidR="00FA01B2" w:rsidRDefault="00FA01B2" w:rsidP="00FA01B2">
            <w:pPr>
              <w:spacing w:after="0" w:line="240" w:lineRule="auto"/>
              <w:rPr>
                <w:sz w:val="18"/>
                <w:szCs w:val="18"/>
              </w:rPr>
            </w:pPr>
          </w:p>
          <w:p w:rsidR="00FA01B2" w:rsidRDefault="00FA01B2" w:rsidP="00FA01B2">
            <w:pPr>
              <w:spacing w:after="0" w:line="240" w:lineRule="auto"/>
              <w:rPr>
                <w:sz w:val="18"/>
                <w:szCs w:val="18"/>
              </w:rPr>
            </w:pPr>
          </w:p>
          <w:p w:rsidR="00FA01B2" w:rsidRDefault="00FA01B2" w:rsidP="00FA01B2">
            <w:pPr>
              <w:spacing w:after="0" w:line="240" w:lineRule="auto"/>
              <w:rPr>
                <w:sz w:val="18"/>
                <w:szCs w:val="18"/>
              </w:rPr>
            </w:pPr>
          </w:p>
          <w:p w:rsidR="00FA01B2" w:rsidRDefault="00FA01B2" w:rsidP="00FA01B2">
            <w:pPr>
              <w:spacing w:after="0" w:line="240" w:lineRule="auto"/>
              <w:rPr>
                <w:sz w:val="18"/>
                <w:szCs w:val="18"/>
              </w:rPr>
            </w:pPr>
          </w:p>
          <w:p w:rsidR="00FA01B2" w:rsidRPr="000B03BF" w:rsidRDefault="00FA01B2" w:rsidP="00FA01B2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A01B2" w:rsidRDefault="00FA01B2" w:rsidP="00FA01B2">
            <w:pPr>
              <w:spacing w:after="10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FA01B2" w:rsidRPr="000B03BF" w:rsidRDefault="00FA01B2" w:rsidP="00FA01B2">
            <w:pPr>
              <w:spacing w:after="10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0B03BF">
              <w:rPr>
                <w:rFonts w:cs="Arial"/>
                <w:sz w:val="18"/>
                <w:szCs w:val="18"/>
              </w:rPr>
              <w:t>CL</w:t>
            </w:r>
          </w:p>
          <w:p w:rsidR="00FA01B2" w:rsidRPr="000B03BF" w:rsidRDefault="00FA01B2" w:rsidP="00FA01B2">
            <w:pPr>
              <w:pStyle w:val="Tex"/>
              <w:spacing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0B03BF">
              <w:rPr>
                <w:rFonts w:ascii="Calibri" w:hAnsi="Calibri"/>
                <w:sz w:val="18"/>
                <w:szCs w:val="18"/>
              </w:rPr>
              <w:t>CMCT</w:t>
            </w:r>
          </w:p>
        </w:tc>
        <w:tc>
          <w:tcPr>
            <w:tcW w:w="2551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FA01B2" w:rsidRDefault="00FA01B2" w:rsidP="00FA01B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FA01B2" w:rsidRPr="000B03BF" w:rsidRDefault="00FA01B2" w:rsidP="00FA01B2">
            <w:pPr>
              <w:spacing w:after="0"/>
              <w:rPr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</w:t>
            </w:r>
          </w:p>
        </w:tc>
        <w:tc>
          <w:tcPr>
            <w:tcW w:w="2268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FA01B2" w:rsidRPr="000B03BF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ind w:hanging="227"/>
              <w:jc w:val="left"/>
              <w:rPr>
                <w:rFonts w:ascii="Calibri" w:hAnsi="Calibri"/>
              </w:rPr>
            </w:pPr>
            <w:r w:rsidRPr="000B03BF">
              <w:rPr>
                <w:rFonts w:ascii="Calibri" w:hAnsi="Calibri" w:cs="Arial"/>
                <w:color w:val="000000"/>
              </w:rPr>
              <w:t>A</w:t>
            </w:r>
            <w:r>
              <w:rPr>
                <w:rFonts w:ascii="Calibri" w:hAnsi="Calibri" w:cs="Arial"/>
                <w:color w:val="000000"/>
              </w:rPr>
              <w:t xml:space="preserve"> 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Analiza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comprende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enunciado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relaciones entre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contexto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del problema).</w:t>
            </w:r>
          </w:p>
        </w:tc>
        <w:tc>
          <w:tcPr>
            <w:tcW w:w="1985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0B03BF" w:rsidRDefault="00467B6E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a</w:t>
            </w:r>
            <w:r w:rsidRPr="000B03BF">
              <w:rPr>
                <w:rFonts w:ascii="Calibri" w:hAnsi="Calibri" w:cs="Arial"/>
                <w:color w:val="000000"/>
              </w:rPr>
              <w:t>nal</w:t>
            </w:r>
            <w:r>
              <w:rPr>
                <w:rFonts w:ascii="Calibri" w:hAnsi="Calibri" w:cs="Arial"/>
                <w:color w:val="000000"/>
              </w:rPr>
              <w:t>iza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ni</w:t>
            </w:r>
            <w:r w:rsidRPr="000B03BF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comprende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enunciado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relaciones entre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contexto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del problema).</w:t>
            </w:r>
          </w:p>
        </w:tc>
        <w:tc>
          <w:tcPr>
            <w:tcW w:w="1842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0B03BF" w:rsidRDefault="00467B6E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B03BF">
              <w:rPr>
                <w:rFonts w:ascii="Calibri" w:hAnsi="Calibri" w:cs="Arial"/>
                <w:color w:val="000000"/>
              </w:rPr>
              <w:t>Analiza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comprende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enunciado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relaciones entre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contexto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del problema).</w:t>
            </w:r>
          </w:p>
        </w:tc>
        <w:tc>
          <w:tcPr>
            <w:tcW w:w="1560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0B03BF" w:rsidRDefault="00467B6E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0B03BF" w:rsidRDefault="00467B6E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FA01B2" w:rsidTr="00FA01B2">
        <w:trPr>
          <w:trHeight w:val="700"/>
        </w:trPr>
        <w:tc>
          <w:tcPr>
            <w:tcW w:w="932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FA01B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FA01B2" w:rsidRPr="000B03BF" w:rsidRDefault="00FA01B2" w:rsidP="00FA01B2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A01B2" w:rsidRPr="000B03BF" w:rsidRDefault="00FA01B2" w:rsidP="00FA01B2">
            <w:pPr>
              <w:spacing w:after="106"/>
              <w:rPr>
                <w:rFonts w:cs="Arial"/>
                <w:sz w:val="18"/>
                <w:szCs w:val="18"/>
              </w:rPr>
            </w:pPr>
          </w:p>
          <w:p w:rsidR="00FA01B2" w:rsidRPr="000B03BF" w:rsidRDefault="00FA01B2" w:rsidP="00FA01B2">
            <w:pPr>
              <w:spacing w:after="106"/>
              <w:rPr>
                <w:rFonts w:cs="Arial"/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CMCT</w:t>
            </w:r>
          </w:p>
          <w:p w:rsidR="00FA01B2" w:rsidRPr="000B03BF" w:rsidRDefault="00FA01B2" w:rsidP="00FA01B2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0B03BF">
              <w:rPr>
                <w:rFonts w:ascii="Calibri" w:hAnsi="Calibri"/>
                <w:sz w:val="18"/>
                <w:szCs w:val="18"/>
              </w:rPr>
              <w:t>IE</w:t>
            </w:r>
          </w:p>
        </w:tc>
        <w:tc>
          <w:tcPr>
            <w:tcW w:w="25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A01B2" w:rsidRPr="000B03BF" w:rsidRDefault="00FA01B2" w:rsidP="00FA01B2">
            <w:pPr>
              <w:spacing w:after="0"/>
              <w:rPr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FA01B2" w:rsidRPr="000B03BF" w:rsidRDefault="00FA01B2" w:rsidP="00FA01B2">
            <w:pPr>
              <w:spacing w:after="0"/>
              <w:rPr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  <w:r w:rsidRPr="002B2639">
              <w:rPr>
                <w:rFonts w:cs="Arial"/>
                <w:sz w:val="18"/>
                <w:szCs w:val="18"/>
              </w:rPr>
              <w:t>muestra actitudes adecuadas para el trabajo en matemáticas: esfuerzo, perseverancia, flexibilidad y aceptación de la crítica razonada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</w:t>
            </w:r>
            <w:r>
              <w:rPr>
                <w:rFonts w:cs="Arial"/>
                <w:sz w:val="18"/>
                <w:szCs w:val="18"/>
              </w:rPr>
              <w:t>rabajo en matemáticas: esfuerzo y perseverancia.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trabajo en matemáticas: esfuerzo, perseverancia, flexibilidad y aceptación de la crítica razonada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</w:t>
            </w:r>
          </w:p>
        </w:tc>
      </w:tr>
      <w:tr w:rsidR="00FA01B2" w:rsidTr="00FA01B2">
        <w:trPr>
          <w:trHeight w:val="1398"/>
        </w:trPr>
        <w:tc>
          <w:tcPr>
            <w:tcW w:w="932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FA01B2" w:rsidRDefault="00FA01B2" w:rsidP="00FA01B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FA01B2" w:rsidRPr="000B03BF" w:rsidRDefault="00FA01B2" w:rsidP="00FA01B2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FA01B2" w:rsidRPr="000B03BF" w:rsidRDefault="00FA01B2" w:rsidP="00FA01B2">
            <w:pPr>
              <w:spacing w:after="106"/>
              <w:rPr>
                <w:rFonts w:cs="Arial"/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CMCT</w:t>
            </w:r>
          </w:p>
          <w:p w:rsidR="00FA01B2" w:rsidRPr="000B03BF" w:rsidRDefault="00FA01B2" w:rsidP="00FA01B2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Pr="000B03BF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551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FA01B2" w:rsidRPr="000B03BF" w:rsidRDefault="00FA01B2" w:rsidP="00FA01B2">
            <w:pPr>
              <w:spacing w:after="0"/>
              <w:rPr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FA01B2" w:rsidRPr="000B03BF" w:rsidRDefault="00FA01B2" w:rsidP="00FA01B2">
            <w:pPr>
              <w:spacing w:after="0"/>
              <w:rPr>
                <w:sz w:val="18"/>
                <w:szCs w:val="18"/>
              </w:rPr>
            </w:pPr>
            <w:r w:rsidRPr="000B03BF">
              <w:rPr>
                <w:rFonts w:cs="Arial"/>
                <w:sz w:val="18"/>
                <w:szCs w:val="18"/>
              </w:rPr>
              <w:t>Toma decisiones en los procesos de resolución de problemas valorando las consecuencias de las mismas y su conveniencia por su sencillez y utilidad.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No t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>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en ocasiones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  <w:p w:rsidR="00FA01B2" w:rsidRPr="002B2639" w:rsidRDefault="00FA01B2" w:rsidP="00FA01B2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FA01B2" w:rsidTr="00FA01B2">
        <w:trPr>
          <w:trHeight w:val="1789"/>
        </w:trPr>
        <w:tc>
          <w:tcPr>
            <w:tcW w:w="932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1843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A01B2" w:rsidRDefault="00FA01B2" w:rsidP="00FA01B2">
            <w:p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</w:p>
          <w:p w:rsidR="00FA01B2" w:rsidRDefault="00FA01B2" w:rsidP="00FA01B2">
            <w:p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</w:p>
          <w:p w:rsidR="00FA01B2" w:rsidRPr="007B195E" w:rsidRDefault="00FA01B2" w:rsidP="00FA01B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Cálculo de todos los divisores.</w:t>
            </w:r>
          </w:p>
          <w:p w:rsidR="00FA01B2" w:rsidRPr="007B195E" w:rsidRDefault="00FA01B2" w:rsidP="00FA01B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Aplicación de criterios de divisibilidad.</w:t>
            </w:r>
          </w:p>
          <w:p w:rsidR="00FA01B2" w:rsidRPr="007B195E" w:rsidRDefault="00FA01B2" w:rsidP="00FA01B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lastRenderedPageBreak/>
              <w:t>Mínimo común múltiplo.</w:t>
            </w:r>
          </w:p>
          <w:p w:rsidR="00FA01B2" w:rsidRPr="007B195E" w:rsidRDefault="00FA01B2" w:rsidP="00FA01B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Máximo común divisor.</w:t>
            </w:r>
          </w:p>
          <w:p w:rsidR="00FA01B2" w:rsidRPr="007B195E" w:rsidRDefault="00FA01B2" w:rsidP="00FA01B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Realización de problemas hallando el mínimo común múltiplo y máximo común divisor.</w:t>
            </w:r>
          </w:p>
          <w:p w:rsidR="00FA01B2" w:rsidRPr="007B195E" w:rsidRDefault="00FA01B2" w:rsidP="00FA01B2">
            <w:pPr>
              <w:pStyle w:val="Tex"/>
              <w:numPr>
                <w:ilvl w:val="0"/>
                <w:numId w:val="13"/>
              </w:numPr>
              <w:spacing w:line="276" w:lineRule="auto"/>
              <w:ind w:right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7B195E">
              <w:rPr>
                <w:rFonts w:ascii="Calibri" w:hAnsi="Calibri"/>
                <w:sz w:val="18"/>
                <w:szCs w:val="18"/>
              </w:rPr>
              <w:t>Cálculo mental.</w:t>
            </w:r>
          </w:p>
          <w:p w:rsidR="00FA01B2" w:rsidRPr="007B195E" w:rsidRDefault="00FA01B2" w:rsidP="00FA01B2">
            <w:pPr>
              <w:spacing w:after="0"/>
              <w:rPr>
                <w:sz w:val="18"/>
                <w:szCs w:val="18"/>
              </w:rPr>
            </w:pPr>
          </w:p>
          <w:p w:rsidR="00FA01B2" w:rsidRPr="007B195E" w:rsidRDefault="00FA01B2" w:rsidP="00FA01B2">
            <w:pPr>
              <w:spacing w:after="0"/>
              <w:rPr>
                <w:sz w:val="18"/>
                <w:szCs w:val="18"/>
              </w:rPr>
            </w:pPr>
          </w:p>
          <w:p w:rsidR="00FA01B2" w:rsidRPr="007B195E" w:rsidRDefault="00FA01B2" w:rsidP="00FA01B2">
            <w:pPr>
              <w:spacing w:after="0"/>
              <w:rPr>
                <w:sz w:val="18"/>
                <w:szCs w:val="18"/>
              </w:rPr>
            </w:pPr>
          </w:p>
          <w:p w:rsidR="00FA01B2" w:rsidRPr="007B195E" w:rsidRDefault="00FA01B2" w:rsidP="00FA01B2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spacing w:after="0"/>
              <w:rPr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lastRenderedPageBreak/>
              <w:t>CMCT</w:t>
            </w:r>
          </w:p>
        </w:tc>
        <w:tc>
          <w:tcPr>
            <w:tcW w:w="2551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/>
              </w:rPr>
            </w:pPr>
            <w:proofErr w:type="spellStart"/>
            <w:r w:rsidRPr="007B195E">
              <w:rPr>
                <w:rFonts w:ascii="Calibri" w:hAnsi="Calibri" w:cs="Arial"/>
                <w:color w:val="000000"/>
              </w:rPr>
              <w:t>Utilizar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propiedades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, las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estrategias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personales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procedimientos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que se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usan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naturaleza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del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que se ha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algoritmos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escritos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mental,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tanteo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estimación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>, calculadora).</w:t>
            </w:r>
          </w:p>
        </w:tc>
        <w:tc>
          <w:tcPr>
            <w:tcW w:w="2268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Pr="007B195E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jc w:val="left"/>
              <w:rPr>
                <w:rFonts w:ascii="Calibri" w:hAnsi="Calibri"/>
                <w:i/>
                <w:iCs/>
                <w:spacing w:val="2"/>
                <w:lang w:val="es-ES_tradnl"/>
              </w:rPr>
            </w:pPr>
            <w:proofErr w:type="spellStart"/>
            <w:r w:rsidRPr="007B195E">
              <w:rPr>
                <w:rFonts w:ascii="Calibri" w:hAnsi="Calibri" w:cs="Arial"/>
                <w:color w:val="000000"/>
              </w:rPr>
              <w:t>Conoce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aplica los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criterios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divisibilidad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por 2, 3, 5, 9 y 10.</w:t>
            </w:r>
          </w:p>
        </w:tc>
        <w:tc>
          <w:tcPr>
            <w:tcW w:w="1985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conoce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ni </w:t>
            </w:r>
            <w:r w:rsidRPr="007B195E">
              <w:rPr>
                <w:rFonts w:ascii="Calibri" w:hAnsi="Calibri" w:cs="Arial"/>
                <w:color w:val="000000"/>
              </w:rPr>
              <w:t xml:space="preserve">aplica los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criterios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divisibilidad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por 2, 3, 5, 9 y 10.</w:t>
            </w:r>
          </w:p>
        </w:tc>
        <w:tc>
          <w:tcPr>
            <w:tcW w:w="1842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7B195E">
              <w:rPr>
                <w:rFonts w:ascii="Calibri" w:hAnsi="Calibri" w:cs="Arial"/>
                <w:color w:val="000000"/>
              </w:rPr>
              <w:t>Conoce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aplica los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criterios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divisibilidad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por 2, 3, 5, 9 y 10.</w:t>
            </w:r>
          </w:p>
        </w:tc>
        <w:tc>
          <w:tcPr>
            <w:tcW w:w="1560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FA01B2" w:rsidTr="00FA01B2">
        <w:trPr>
          <w:trHeight w:val="585"/>
        </w:trPr>
        <w:tc>
          <w:tcPr>
            <w:tcW w:w="932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FA01B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B195E">
              <w:rPr>
                <w:rFonts w:cs="Arial"/>
                <w:sz w:val="18"/>
                <w:szCs w:val="18"/>
                <w:lang w:val="en-US"/>
              </w:rPr>
              <w:t>CMCT</w:t>
            </w:r>
          </w:p>
          <w:p w:rsidR="00FA01B2" w:rsidRPr="007B195E" w:rsidRDefault="00FA01B2" w:rsidP="00FA01B2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B195E">
              <w:rPr>
                <w:rFonts w:cs="Arial"/>
                <w:sz w:val="18"/>
                <w:szCs w:val="18"/>
                <w:lang w:val="en-US"/>
              </w:rPr>
              <w:t>AA</w:t>
            </w:r>
          </w:p>
          <w:p w:rsidR="00FA01B2" w:rsidRPr="007B195E" w:rsidRDefault="00FA01B2" w:rsidP="00FA01B2">
            <w:pPr>
              <w:spacing w:after="0"/>
              <w:jc w:val="both"/>
              <w:rPr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7B195E">
              <w:rPr>
                <w:rFonts w:cs="Arial"/>
                <w:sz w:val="18"/>
                <w:szCs w:val="18"/>
                <w:lang w:val="en-US"/>
              </w:rPr>
              <w:t xml:space="preserve"> IE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7B195E">
              <w:rPr>
                <w:rFonts w:ascii="Calibri" w:hAnsi="Calibri" w:cs="Arial"/>
                <w:color w:val="000000"/>
              </w:rPr>
              <w:t>Conocer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utilizar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automatizar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algoritmos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estándar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suma, resta,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multiplicación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división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con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distintos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números, en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comprobación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resultados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en contextos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en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>.</w:t>
            </w:r>
          </w:p>
          <w:p w:rsidR="00FA01B2" w:rsidRPr="007B195E" w:rsidRDefault="00FA01B2" w:rsidP="00467B6E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jc w:val="lef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FA01B2" w:rsidRDefault="00FA01B2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  <w:p w:rsidR="00FA01B2" w:rsidRDefault="00FA01B2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7B195E">
              <w:rPr>
                <w:rFonts w:ascii="Calibri" w:hAnsi="Calibri" w:cs="Arial"/>
                <w:color w:val="000000"/>
              </w:rPr>
              <w:t xml:space="preserve">Calcula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todos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los divisores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cualquier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número menor que 100.</w:t>
            </w:r>
          </w:p>
          <w:p w:rsidR="00FA01B2" w:rsidRPr="007B195E" w:rsidRDefault="00FA01B2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467B6E" w:rsidRDefault="00467B6E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 c</w:t>
            </w:r>
            <w:r w:rsidRPr="007B195E">
              <w:rPr>
                <w:rFonts w:ascii="Calibri" w:hAnsi="Calibri" w:cs="Arial"/>
                <w:color w:val="000000"/>
              </w:rPr>
              <w:t xml:space="preserve">alcula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todos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los divisores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cualquier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número menor que 100.</w:t>
            </w:r>
          </w:p>
          <w:p w:rsidR="00FA01B2" w:rsidRDefault="00FA01B2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467B6E" w:rsidRDefault="00467B6E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7B195E">
              <w:rPr>
                <w:rFonts w:ascii="Calibri" w:hAnsi="Calibri" w:cs="Arial"/>
                <w:color w:val="000000"/>
              </w:rPr>
              <w:t xml:space="preserve">Calcula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todos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los divisores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cualquier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número menor que 100.</w:t>
            </w:r>
          </w:p>
          <w:p w:rsidR="00FA01B2" w:rsidRDefault="00FA01B2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Default="00467B6E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Default="00467B6E" w:rsidP="00467B6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FA01B2" w:rsidTr="00FA01B2">
        <w:trPr>
          <w:trHeight w:val="700"/>
        </w:trPr>
        <w:tc>
          <w:tcPr>
            <w:tcW w:w="932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FA01B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467B6E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FA01B2" w:rsidRPr="007B195E" w:rsidRDefault="00FA01B2" w:rsidP="00467B6E">
            <w:pPr>
              <w:spacing w:after="0"/>
              <w:rPr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 xml:space="preserve">Calcula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m.c.m</w:t>
            </w:r>
            <w:proofErr w:type="spellEnd"/>
            <w:r w:rsidRPr="007B195E">
              <w:rPr>
                <w:rFonts w:cs="Arial"/>
                <w:sz w:val="18"/>
                <w:szCs w:val="18"/>
              </w:rPr>
              <w:t xml:space="preserve">. y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m.c.d</w:t>
            </w:r>
            <w:proofErr w:type="spellEnd"/>
            <w:r w:rsidRPr="007B195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Pr="007B195E" w:rsidRDefault="00467B6E" w:rsidP="00467B6E">
            <w:pPr>
              <w:spacing w:after="0"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 xml:space="preserve">Calcula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m.c.m</w:t>
            </w:r>
            <w:proofErr w:type="spellEnd"/>
            <w:r w:rsidRPr="007B195E">
              <w:rPr>
                <w:rFonts w:cs="Arial"/>
                <w:sz w:val="18"/>
                <w:szCs w:val="18"/>
              </w:rPr>
              <w:t xml:space="preserve">. y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m.c.d</w:t>
            </w:r>
            <w:proofErr w:type="spellEnd"/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Pr="007B195E" w:rsidRDefault="00467B6E" w:rsidP="00467B6E">
            <w:pPr>
              <w:spacing w:after="0"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 xml:space="preserve">Calcula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m.c.m</w:t>
            </w:r>
            <w:proofErr w:type="spellEnd"/>
            <w:r w:rsidRPr="007B195E">
              <w:rPr>
                <w:rFonts w:cs="Arial"/>
                <w:sz w:val="18"/>
                <w:szCs w:val="18"/>
              </w:rPr>
              <w:t xml:space="preserve">. y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m.c.d</w:t>
            </w:r>
            <w:proofErr w:type="spellEnd"/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Pr="007B195E" w:rsidRDefault="00467B6E" w:rsidP="00467B6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FA01B2" w:rsidRPr="007B195E" w:rsidRDefault="00467B6E" w:rsidP="00467B6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FA01B2" w:rsidTr="00FA01B2">
        <w:trPr>
          <w:trHeight w:val="630"/>
        </w:trPr>
        <w:tc>
          <w:tcPr>
            <w:tcW w:w="932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FA01B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spacing w:after="0"/>
              <w:jc w:val="both"/>
              <w:rPr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FA01B2" w:rsidRPr="007B195E" w:rsidRDefault="00467B6E" w:rsidP="00467B6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elabora ni</w:t>
            </w:r>
            <w:r w:rsidRPr="007B195E">
              <w:rPr>
                <w:rFonts w:cs="Arial"/>
                <w:sz w:val="18"/>
                <w:szCs w:val="18"/>
              </w:rPr>
              <w:t xml:space="preserve"> usa estrategias de cálculo mental.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FA01B2" w:rsidRPr="007B195E" w:rsidRDefault="00467B6E" w:rsidP="00467B6E">
            <w:pPr>
              <w:spacing w:after="0"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FA01B2" w:rsidRPr="007B195E" w:rsidRDefault="00467B6E" w:rsidP="00467B6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FA01B2" w:rsidRPr="007B195E" w:rsidRDefault="00467B6E" w:rsidP="00467B6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FA01B2" w:rsidTr="00FA01B2">
        <w:trPr>
          <w:trHeight w:val="900"/>
        </w:trPr>
        <w:tc>
          <w:tcPr>
            <w:tcW w:w="932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FA01B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FA01B2" w:rsidRPr="007B195E" w:rsidRDefault="00FA01B2" w:rsidP="00FA01B2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B195E">
              <w:rPr>
                <w:rFonts w:cs="Arial"/>
                <w:sz w:val="18"/>
                <w:szCs w:val="18"/>
                <w:lang w:val="en-US"/>
              </w:rPr>
              <w:t>CMCT</w:t>
            </w:r>
          </w:p>
          <w:p w:rsidR="00FA01B2" w:rsidRPr="007B195E" w:rsidRDefault="00FA01B2" w:rsidP="00FA01B2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B195E">
              <w:rPr>
                <w:rFonts w:cs="Arial"/>
                <w:sz w:val="18"/>
                <w:szCs w:val="18"/>
                <w:lang w:val="en-US"/>
              </w:rPr>
              <w:t>AA</w:t>
            </w:r>
          </w:p>
          <w:p w:rsidR="00FA01B2" w:rsidRPr="007B195E" w:rsidRDefault="00FA01B2" w:rsidP="00FA01B2">
            <w:pPr>
              <w:spacing w:after="0"/>
              <w:jc w:val="both"/>
              <w:rPr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  <w:lang w:val="en-US"/>
              </w:rPr>
              <w:t xml:space="preserve">  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7B195E">
              <w:rPr>
                <w:rFonts w:cs="Arial"/>
                <w:sz w:val="18"/>
                <w:szCs w:val="18"/>
                <w:lang w:val="en-US"/>
              </w:rPr>
              <w:t>IE</w:t>
            </w:r>
          </w:p>
        </w:tc>
        <w:tc>
          <w:tcPr>
            <w:tcW w:w="2551" w:type="dxa"/>
            <w:gridSpan w:val="2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FA01B2" w:rsidRDefault="00FA01B2" w:rsidP="00FA01B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FA01B2" w:rsidRPr="007B195E" w:rsidRDefault="00FA01B2" w:rsidP="00FA01B2">
            <w:pPr>
              <w:spacing w:after="0"/>
              <w:rPr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2268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FA01B2" w:rsidRDefault="00FA01B2" w:rsidP="00FA01B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FA01B2" w:rsidRDefault="00FA01B2" w:rsidP="00FA01B2">
            <w:pPr>
              <w:spacing w:after="0"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FA01B2" w:rsidRPr="007B195E" w:rsidRDefault="00FA01B2" w:rsidP="00FA01B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FA01B2" w:rsidRDefault="00FA01B2" w:rsidP="00467B6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</w:t>
            </w:r>
            <w:r w:rsidRPr="00301CC6">
              <w:rPr>
                <w:rFonts w:cs="Arial"/>
                <w:sz w:val="18"/>
                <w:szCs w:val="18"/>
              </w:rPr>
              <w:t>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  <w:r w:rsidRPr="00301CC6">
              <w:rPr>
                <w:rFonts w:cs="Arial"/>
                <w:sz w:val="18"/>
                <w:szCs w:val="18"/>
              </w:rPr>
              <w:t xml:space="preserve"> </w:t>
            </w:r>
          </w:p>
          <w:p w:rsidR="00FA01B2" w:rsidRDefault="00FA01B2" w:rsidP="00467B6E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FA01B2" w:rsidRDefault="00FA01B2" w:rsidP="00467B6E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FA01B2" w:rsidRDefault="00FA01B2" w:rsidP="00467B6E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FA01B2" w:rsidRDefault="00FA01B2" w:rsidP="00467B6E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</w:t>
            </w:r>
            <w:r>
              <w:rPr>
                <w:rFonts w:cs="Arial"/>
                <w:sz w:val="18"/>
                <w:szCs w:val="18"/>
              </w:rPr>
              <w:t>ciones, uso de contraejemplos).</w:t>
            </w:r>
          </w:p>
          <w:p w:rsidR="00FA01B2" w:rsidRDefault="00FA01B2" w:rsidP="00467B6E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FA01B2" w:rsidRDefault="00FA01B2" w:rsidP="00467B6E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FA01B2" w:rsidRDefault="00FA01B2" w:rsidP="00467B6E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A01B2" w:rsidTr="00FA01B2">
        <w:trPr>
          <w:trHeight w:val="1483"/>
        </w:trPr>
        <w:tc>
          <w:tcPr>
            <w:tcW w:w="932" w:type="dxa"/>
            <w:tcBorders>
              <w:top w:val="single" w:sz="24" w:space="0" w:color="5F497A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FA01B2" w:rsidRDefault="00FA01B2" w:rsidP="00FA01B2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FA01B2" w:rsidRDefault="00FA01B2" w:rsidP="00FA01B2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  <w:p w:rsidR="00FA01B2" w:rsidRDefault="00FA01B2" w:rsidP="00FA01B2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5</w:t>
            </w:r>
          </w:p>
          <w:p w:rsidR="00FA01B2" w:rsidRDefault="00FA01B2" w:rsidP="00FA01B2">
            <w:pPr>
              <w:spacing w:after="0" w:line="240" w:lineRule="auto"/>
              <w:jc w:val="center"/>
            </w:pPr>
          </w:p>
          <w:p w:rsidR="00FA01B2" w:rsidRDefault="00FA01B2" w:rsidP="00FA01B2">
            <w:pPr>
              <w:jc w:val="center"/>
            </w:pPr>
          </w:p>
        </w:tc>
        <w:tc>
          <w:tcPr>
            <w:tcW w:w="1843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FA01B2" w:rsidRPr="007B195E" w:rsidRDefault="00FA01B2" w:rsidP="00FA01B2">
            <w:pPr>
              <w:pStyle w:val="Prrafodelista"/>
              <w:numPr>
                <w:ilvl w:val="0"/>
                <w:numId w:val="14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Relación de gráficos lineales con tablas y otros gráficos.</w:t>
            </w:r>
          </w:p>
          <w:p w:rsidR="00FA01B2" w:rsidRPr="007B195E" w:rsidRDefault="00FA01B2" w:rsidP="00FA01B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>Realización de un proyecto con gráficos lineales</w:t>
            </w:r>
          </w:p>
        </w:tc>
        <w:tc>
          <w:tcPr>
            <w:tcW w:w="709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FA01B2" w:rsidRPr="007B195E" w:rsidRDefault="00FA01B2" w:rsidP="00FA01B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A01B2" w:rsidRPr="007B195E" w:rsidRDefault="00FA01B2" w:rsidP="00FA01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  <w:lang w:val="en-US"/>
              </w:rPr>
              <w:t>CMCT</w:t>
            </w:r>
          </w:p>
        </w:tc>
        <w:tc>
          <w:tcPr>
            <w:tcW w:w="2551" w:type="dxa"/>
            <w:gridSpan w:val="2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FA01B2" w:rsidRPr="007B195E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/>
              <w:rPr>
                <w:rFonts w:ascii="Calibri" w:hAnsi="Calibri"/>
              </w:rPr>
            </w:pPr>
            <w:proofErr w:type="spellStart"/>
            <w:r w:rsidRPr="007B195E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leer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e interpretar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representaciones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gráficas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un conjunto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relativos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al entorno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inmediato</w:t>
            </w:r>
            <w:proofErr w:type="spellEnd"/>
          </w:p>
        </w:tc>
        <w:tc>
          <w:tcPr>
            <w:tcW w:w="2268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auto"/>
            <w:vAlign w:val="center"/>
          </w:tcPr>
          <w:p w:rsidR="00FA01B2" w:rsidRPr="007B195E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rPr>
                <w:rFonts w:ascii="Calibri" w:hAnsi="Calibri"/>
              </w:rPr>
            </w:pPr>
            <w:proofErr w:type="spellStart"/>
            <w:r w:rsidRPr="007B195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7B195E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7B195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FA01B2" w:rsidRPr="000158FE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r</w:t>
            </w:r>
            <w:r w:rsidRPr="000158FE">
              <w:rPr>
                <w:rFonts w:ascii="Calibri" w:hAnsi="Calibri" w:cs="Arial"/>
                <w:color w:val="000000"/>
              </w:rPr>
              <w:t>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</w:t>
            </w:r>
            <w:r>
              <w:rPr>
                <w:rFonts w:ascii="Calibri" w:hAnsi="Calibri" w:cs="Arial"/>
                <w:color w:val="000000"/>
              </w:rPr>
              <w:t xml:space="preserve"> ni</w:t>
            </w:r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</w:t>
            </w:r>
            <w:r>
              <w:rPr>
                <w:rFonts w:ascii="Calibri" w:hAnsi="Calibri" w:cs="Arial"/>
                <w:color w:val="000000"/>
              </w:rPr>
              <w:t>.</w:t>
            </w:r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FA01B2" w:rsidRPr="000158FE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Arial"/>
                <w:color w:val="000000"/>
              </w:rPr>
              <w:t>su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entorno.</w:t>
            </w:r>
          </w:p>
        </w:tc>
        <w:tc>
          <w:tcPr>
            <w:tcW w:w="1560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FA01B2" w:rsidRPr="000158FE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entorno,</w:t>
            </w:r>
            <w:r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>
              <w:rPr>
                <w:rFonts w:ascii="Calibri" w:hAnsi="Calibri" w:cs="Arial"/>
                <w:color w:val="000000"/>
              </w:rPr>
              <w:t>utiliza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FA01B2" w:rsidRPr="000158FE" w:rsidRDefault="00FA01B2" w:rsidP="00FA01B2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siempre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</w:tr>
    </w:tbl>
    <w:p w:rsidR="00EC3294" w:rsidRDefault="00EC3294" w:rsidP="00EC3294"/>
    <w:p w:rsidR="007B195E" w:rsidRDefault="007B195E" w:rsidP="00EC3294"/>
    <w:p w:rsidR="00F96EE9" w:rsidRDefault="00F96EE9" w:rsidP="00EC3294"/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3F6217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3F6217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  <w:r w:rsidR="003F6217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3F6217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3F6217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3F6217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F1744D">
              <w:rPr>
                <w:sz w:val="18"/>
                <w:szCs w:val="18"/>
              </w:rPr>
              <w:t xml:space="preserve"> 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3F6217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3F6217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041A91" w:rsidRDefault="00041A91" w:rsidP="00EC3294"/>
    <w:p w:rsidR="00041A91" w:rsidRDefault="00041A91" w:rsidP="00EC3294"/>
    <w:p w:rsidR="00F96EE9" w:rsidRDefault="00F96EE9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EC3294" w:rsidRPr="003F6217" w:rsidRDefault="003F6217" w:rsidP="00F1744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F6217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3F6217">
              <w:rPr>
                <w:rFonts w:cs="Arial"/>
                <w:i/>
                <w:sz w:val="18"/>
                <w:szCs w:val="18"/>
              </w:rPr>
              <w:t xml:space="preserve">¿De dónde viene la miel? </w:t>
            </w:r>
            <w:r w:rsidRPr="003F6217">
              <w:rPr>
                <w:rFonts w:cs="Arial"/>
                <w:sz w:val="18"/>
                <w:szCs w:val="18"/>
              </w:rPr>
              <w:t>(página 54).</w:t>
            </w:r>
          </w:p>
          <w:p w:rsidR="003F6217" w:rsidRPr="003F6217" w:rsidRDefault="003F6217" w:rsidP="003F621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3294" w:rsidRDefault="003F6217" w:rsidP="00F1744D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3F6217">
              <w:rPr>
                <w:rFonts w:cs="Arial"/>
                <w:sz w:val="18"/>
                <w:szCs w:val="18"/>
              </w:rPr>
              <w:t xml:space="preserve">Explicar cómo ha averiguado un número (páginas 55); explicar qué es el </w:t>
            </w:r>
            <w:proofErr w:type="spellStart"/>
            <w:r w:rsidRPr="003F6217">
              <w:rPr>
                <w:rFonts w:cs="Arial"/>
                <w:sz w:val="18"/>
                <w:szCs w:val="18"/>
              </w:rPr>
              <w:t>m.c.m</w:t>
            </w:r>
            <w:proofErr w:type="spellEnd"/>
            <w:r w:rsidRPr="003F6217">
              <w:rPr>
                <w:rFonts w:cs="Arial"/>
                <w:sz w:val="18"/>
                <w:szCs w:val="18"/>
              </w:rPr>
              <w:t xml:space="preserve">. y el </w:t>
            </w:r>
            <w:proofErr w:type="spellStart"/>
            <w:r w:rsidRPr="003F6217">
              <w:rPr>
                <w:rFonts w:cs="Arial"/>
                <w:sz w:val="18"/>
                <w:szCs w:val="18"/>
              </w:rPr>
              <w:t>m.c.d</w:t>
            </w:r>
            <w:proofErr w:type="spellEnd"/>
            <w:r w:rsidRPr="003F6217">
              <w:rPr>
                <w:rFonts w:cs="Arial"/>
                <w:sz w:val="18"/>
                <w:szCs w:val="18"/>
              </w:rPr>
              <w:t>. (página 64).</w:t>
            </w: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3F6217" w:rsidP="00F1744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F6217">
              <w:rPr>
                <w:rFonts w:cs="Arial"/>
                <w:sz w:val="18"/>
                <w:szCs w:val="18"/>
              </w:rPr>
              <w:t>Tablas (páginas 62 y 63); coordenadas de los vértices de triángulos (página 67); gráficos (páginas 68 y 69).</w:t>
            </w:r>
          </w:p>
          <w:p w:rsidR="00F1744D" w:rsidRPr="003F6217" w:rsidRDefault="00F1744D" w:rsidP="00F1744D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3F6217" w:rsidRDefault="003F6217" w:rsidP="00F1744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F6217">
              <w:rPr>
                <w:rFonts w:cs="Arial"/>
                <w:sz w:val="18"/>
                <w:szCs w:val="18"/>
              </w:rPr>
              <w:t>Relacionar gráficos lineales con tablas y otros gráficos (página 68); realizar un proyecto con gráficos lineales (página 69).</w:t>
            </w:r>
          </w:p>
          <w:p w:rsidR="003F6217" w:rsidRDefault="003F6217" w:rsidP="00EC3294">
            <w:pPr>
              <w:spacing w:after="0" w:line="240" w:lineRule="auto"/>
              <w:jc w:val="both"/>
            </w:pP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Pr="003F6217" w:rsidRDefault="003F6217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F6217">
              <w:rPr>
                <w:rFonts w:cs="Arial"/>
                <w:sz w:val="18"/>
                <w:szCs w:val="18"/>
              </w:rPr>
              <w:t>Inventar un problema en el que haya que realizar una tabla</w:t>
            </w:r>
            <w:r w:rsidRPr="003F621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3F6217">
              <w:rPr>
                <w:rFonts w:cs="Arial"/>
                <w:sz w:val="18"/>
                <w:szCs w:val="18"/>
              </w:rPr>
              <w:t xml:space="preserve">(página 63); </w:t>
            </w:r>
            <w:r w:rsidRPr="003F6217">
              <w:rPr>
                <w:rFonts w:cs="Arial"/>
                <w:i/>
                <w:sz w:val="18"/>
                <w:szCs w:val="18"/>
              </w:rPr>
              <w:t>Demuestra tu talento</w:t>
            </w:r>
            <w:r w:rsidRPr="003F6217">
              <w:rPr>
                <w:rFonts w:cs="Arial"/>
                <w:sz w:val="18"/>
                <w:szCs w:val="18"/>
              </w:rPr>
              <w:t xml:space="preserve"> (página 65); organizar grupos para un campamento (página 66).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3F6217" w:rsidRDefault="003F6217" w:rsidP="00EC32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F6217">
              <w:rPr>
                <w:rFonts w:cs="Arial"/>
                <w:sz w:val="18"/>
                <w:szCs w:val="18"/>
              </w:rPr>
              <w:t>Pensar y resolver problemas de la vida cotidiana (página 61).</w:t>
            </w:r>
          </w:p>
        </w:tc>
      </w:tr>
    </w:tbl>
    <w:p w:rsidR="00EC3294" w:rsidRDefault="00EC3294" w:rsidP="00EC3294"/>
    <w:p w:rsidR="00F96EE9" w:rsidRDefault="00F96EE9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F1744D" w:rsidRDefault="003F6217" w:rsidP="001A047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F1744D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F1744D">
              <w:rPr>
                <w:rFonts w:cs="Arial"/>
                <w:sz w:val="18"/>
                <w:szCs w:val="18"/>
              </w:rPr>
              <w:t xml:space="preserve"> de 6</w:t>
            </w:r>
            <w:r w:rsidRPr="00F1744D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F1744D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3F6217" w:rsidRDefault="003F6217" w:rsidP="001A047D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p w:rsidR="00F96EE9" w:rsidRDefault="00F96EE9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F96EE9" w:rsidTr="0008045B">
        <w:trPr>
          <w:trHeight w:val="3939"/>
        </w:trPr>
        <w:tc>
          <w:tcPr>
            <w:tcW w:w="1650" w:type="dxa"/>
            <w:shd w:val="clear" w:color="auto" w:fill="DFD8E8"/>
            <w:vAlign w:val="center"/>
          </w:tcPr>
          <w:p w:rsidR="00F96EE9" w:rsidRDefault="00F96EE9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F96EE9" w:rsidRDefault="00F96EE9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F96EE9" w:rsidRDefault="00F96EE9" w:rsidP="0055241D">
            <w:pPr>
              <w:spacing w:after="0" w:line="240" w:lineRule="auto"/>
            </w:pPr>
          </w:p>
          <w:p w:rsidR="00F96EE9" w:rsidRPr="001A047D" w:rsidRDefault="00F96EE9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F96EE9" w:rsidRPr="001A047D" w:rsidRDefault="00F96EE9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F96EE9" w:rsidRPr="001A047D" w:rsidRDefault="00F96EE9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F96EE9" w:rsidRPr="001A047D" w:rsidRDefault="00F96EE9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F96EE9" w:rsidRPr="001A047D" w:rsidRDefault="00F96EE9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F96EE9" w:rsidRPr="001A047D" w:rsidRDefault="00F96EE9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F96EE9" w:rsidRDefault="00F96EE9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F96EE9" w:rsidRDefault="00F96EE9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F96EE9" w:rsidRDefault="00F96EE9" w:rsidP="0055241D">
            <w:pPr>
              <w:spacing w:after="0" w:line="240" w:lineRule="auto"/>
              <w:jc w:val="center"/>
            </w:pP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F96EE9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</w:tc>
        <w:tc>
          <w:tcPr>
            <w:tcW w:w="4414" w:type="dxa"/>
            <w:shd w:val="clear" w:color="auto" w:fill="DFD8E8"/>
          </w:tcPr>
          <w:p w:rsidR="00F96EE9" w:rsidRDefault="00F96EE9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F96EE9" w:rsidRDefault="00F96EE9" w:rsidP="0055241D">
            <w:pPr>
              <w:spacing w:after="0" w:line="240" w:lineRule="auto"/>
            </w:pP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F96EE9" w:rsidRPr="001A047D" w:rsidRDefault="00F96EE9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F96EE9" w:rsidRPr="001A047D" w:rsidRDefault="00F96EE9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F96EE9" w:rsidRPr="001A047D" w:rsidRDefault="00F96EE9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F96EE9" w:rsidRPr="00F96EE9" w:rsidRDefault="00F96EE9" w:rsidP="00F96EE9">
            <w:pPr>
              <w:spacing w:after="106" w:line="260" w:lineRule="exact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1A047D">
              <w:rPr>
                <w:sz w:val="18"/>
                <w:szCs w:val="18"/>
              </w:rPr>
              <w:t xml:space="preserve">En las pruebas de control </w:t>
            </w:r>
            <w:r w:rsidRPr="00F96EE9">
              <w:rPr>
                <w:rFonts w:cs="Arial"/>
                <w:sz w:val="18"/>
                <w:szCs w:val="18"/>
              </w:rPr>
              <w:t>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F96EE9" w:rsidRDefault="00F96EE9" w:rsidP="0055241D">
            <w:pPr>
              <w:spacing w:after="0" w:line="240" w:lineRule="auto"/>
              <w:ind w:left="335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F96EE9" w:rsidRDefault="00F96EE9" w:rsidP="00F96EE9">
            <w:pPr>
              <w:spacing w:after="0" w:line="240" w:lineRule="auto"/>
              <w:contextualSpacing/>
              <w:jc w:val="both"/>
              <w:rPr>
                <w:sz w:val="18"/>
              </w:rPr>
            </w:pPr>
          </w:p>
          <w:p w:rsidR="001A047D" w:rsidRDefault="001A047D" w:rsidP="00F96EE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EC3294" w:rsidRDefault="001A047D" w:rsidP="00F96EE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sz w:val="18"/>
              </w:rPr>
            </w:pPr>
            <w:r w:rsidRPr="00AF3E1B">
              <w:rPr>
                <w:sz w:val="18"/>
              </w:rPr>
              <w:t>Refuerzos positivos para el reconocimiento del esfuerzo de los alumnos con ritmo más lento</w:t>
            </w:r>
          </w:p>
          <w:p w:rsidR="00F96EE9" w:rsidRPr="00F96EE9" w:rsidRDefault="00F96EE9" w:rsidP="00F96EE9">
            <w:pPr>
              <w:numPr>
                <w:ilvl w:val="0"/>
                <w:numId w:val="11"/>
              </w:numPr>
              <w:spacing w:after="0"/>
              <w:rPr>
                <w:rFonts w:cs="Arial"/>
                <w:sz w:val="18"/>
                <w:szCs w:val="18"/>
              </w:rPr>
            </w:pPr>
            <w:r w:rsidRPr="00F96EE9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F96EE9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F96EE9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F96EE9" w:rsidRPr="00F96EE9" w:rsidRDefault="00F96EE9" w:rsidP="00F96EE9">
            <w:pPr>
              <w:numPr>
                <w:ilvl w:val="0"/>
                <w:numId w:val="11"/>
              </w:numPr>
              <w:spacing w:after="0"/>
              <w:rPr>
                <w:rFonts w:cs="Arial"/>
                <w:sz w:val="18"/>
                <w:szCs w:val="18"/>
              </w:rPr>
            </w:pPr>
            <w:r w:rsidRPr="00F96EE9">
              <w:rPr>
                <w:rFonts w:cs="Arial"/>
                <w:sz w:val="18"/>
                <w:szCs w:val="18"/>
              </w:rPr>
              <w:t xml:space="preserve">Actividades de ampliación </w:t>
            </w:r>
            <w:r>
              <w:rPr>
                <w:rFonts w:cs="Arial"/>
                <w:sz w:val="18"/>
                <w:szCs w:val="18"/>
              </w:rPr>
              <w:t xml:space="preserve"> y de refuerzo </w:t>
            </w:r>
            <w:r w:rsidRPr="00F96EE9">
              <w:rPr>
                <w:rFonts w:cs="Arial"/>
                <w:sz w:val="18"/>
                <w:szCs w:val="18"/>
              </w:rPr>
              <w:t>propuestas en la guía didáctica.</w:t>
            </w:r>
          </w:p>
          <w:p w:rsidR="00F96EE9" w:rsidRPr="00F96EE9" w:rsidRDefault="00F96EE9" w:rsidP="00F96EE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F96EE9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F96EE9">
              <w:rPr>
                <w:rFonts w:cs="Arial"/>
                <w:sz w:val="18"/>
                <w:szCs w:val="18"/>
              </w:rPr>
              <w:t xml:space="preserve"> de 6</w:t>
            </w:r>
            <w:r w:rsidRPr="00F96EE9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F96EE9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F96EE9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041A91" w:rsidTr="001E453D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041A91" w:rsidTr="001E453D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Calcular todos los divisores de un número.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Contestar a unas preguntas sobre el tema razonando la respuesta.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Aplicar los criterios de divisibilidad.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Calcular el mínimo como un múltiplo de una serie de números.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Calcular el máximo común divisor.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 xml:space="preserve">Resolver problemas de </w:t>
            </w:r>
            <w:proofErr w:type="spellStart"/>
            <w:r>
              <w:t>m.c.m</w:t>
            </w:r>
            <w:proofErr w:type="spellEnd"/>
            <w:r>
              <w:t xml:space="preserve">. y de </w:t>
            </w:r>
            <w:proofErr w:type="spellStart"/>
            <w:r>
              <w:t>m.c.d</w:t>
            </w:r>
            <w:proofErr w:type="spellEnd"/>
            <w:r>
              <w:t>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Elaborar tablas a partir de informaciones.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Hacer una tabla.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41A91" w:rsidRDefault="003E2038" w:rsidP="001E453D">
            <w:pPr>
              <w:jc w:val="center"/>
            </w:pPr>
            <w:r>
              <w:t>X</w:t>
            </w: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3E2038" w:rsidP="001E453D">
            <w:pPr>
              <w:spacing w:after="0" w:line="240" w:lineRule="auto"/>
            </w:pPr>
            <w:r>
              <w:t>Relacionar gráficos lineales con tablas y otros gráficos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3E2038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3E2038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3E2038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41A91" w:rsidRDefault="003E2038" w:rsidP="001E453D">
            <w:pPr>
              <w:spacing w:after="0" w:line="240" w:lineRule="auto"/>
            </w:pPr>
            <w:r>
              <w:t>Realizar un proyecto con gráficos lineales.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3E2038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3E2038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41A91" w:rsidRDefault="003E2038" w:rsidP="001E453D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41A91" w:rsidRDefault="00041A91" w:rsidP="001E453D">
            <w:pPr>
              <w:jc w:val="center"/>
            </w:pPr>
          </w:p>
        </w:tc>
      </w:tr>
      <w:tr w:rsidR="00041A91" w:rsidTr="001E453D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041A91" w:rsidRDefault="00041A91" w:rsidP="001E453D">
            <w:pPr>
              <w:jc w:val="center"/>
            </w:pPr>
          </w:p>
        </w:tc>
      </w:tr>
    </w:tbl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54"/>
    <w:multiLevelType w:val="hybridMultilevel"/>
    <w:tmpl w:val="9350F44A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963409F"/>
    <w:multiLevelType w:val="hybridMultilevel"/>
    <w:tmpl w:val="9662A7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31724"/>
    <w:multiLevelType w:val="hybridMultilevel"/>
    <w:tmpl w:val="F384A884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A475604"/>
    <w:multiLevelType w:val="hybridMultilevel"/>
    <w:tmpl w:val="56BE1B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>
    <w:nsid w:val="297A62B0"/>
    <w:multiLevelType w:val="hybridMultilevel"/>
    <w:tmpl w:val="6C4AB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B302A1"/>
    <w:multiLevelType w:val="hybridMultilevel"/>
    <w:tmpl w:val="294815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1D063AD"/>
    <w:multiLevelType w:val="multilevel"/>
    <w:tmpl w:val="31C4BA6E"/>
    <w:lvl w:ilvl="0">
      <w:start w:val="1"/>
      <w:numFmt w:val="bullet"/>
      <w:lvlText w:val="•"/>
      <w:lvlJc w:val="left"/>
      <w:pPr>
        <w:ind w:left="-218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502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222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662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382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822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542" w:firstLine="6120"/>
      </w:pPr>
      <w:rPr>
        <w:rFonts w:ascii="Arial" w:eastAsia="Arial" w:hAnsi="Arial" w:cs="Arial"/>
      </w:rPr>
    </w:lvl>
  </w:abstractNum>
  <w:abstractNum w:abstractNumId="11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7E7227C5"/>
    <w:multiLevelType w:val="hybridMultilevel"/>
    <w:tmpl w:val="EB744E60"/>
    <w:lvl w:ilvl="0" w:tplc="211CB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2"/>
  </w:num>
  <w:num w:numId="5">
    <w:abstractNumId w:val="3"/>
  </w:num>
  <w:num w:numId="6">
    <w:abstractNumId w:val="11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41A91"/>
    <w:rsid w:val="0008045B"/>
    <w:rsid w:val="000B03BF"/>
    <w:rsid w:val="00135563"/>
    <w:rsid w:val="001747BA"/>
    <w:rsid w:val="001762B7"/>
    <w:rsid w:val="001A047D"/>
    <w:rsid w:val="001B538E"/>
    <w:rsid w:val="001E453D"/>
    <w:rsid w:val="002800AE"/>
    <w:rsid w:val="003E2038"/>
    <w:rsid w:val="003F6217"/>
    <w:rsid w:val="00455B62"/>
    <w:rsid w:val="00467B6E"/>
    <w:rsid w:val="0055241D"/>
    <w:rsid w:val="00731C40"/>
    <w:rsid w:val="007B195E"/>
    <w:rsid w:val="008C61C2"/>
    <w:rsid w:val="009F5C3D"/>
    <w:rsid w:val="00AE314F"/>
    <w:rsid w:val="00BB37B0"/>
    <w:rsid w:val="00C3537F"/>
    <w:rsid w:val="00EC3294"/>
    <w:rsid w:val="00EE3723"/>
    <w:rsid w:val="00F1744D"/>
    <w:rsid w:val="00F30E5A"/>
    <w:rsid w:val="00F96EE9"/>
    <w:rsid w:val="00FA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0B03BF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0B03BF"/>
    <w:rPr>
      <w:rFonts w:ascii="Arial" w:hAnsi="Arial"/>
      <w:b/>
      <w:i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0B03BF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3E4F-2115-4A02-A597-DDC171E0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2020-10-20T08:04:00Z</dcterms:created>
  <dcterms:modified xsi:type="dcterms:W3CDTF">2020-10-20T08:04:00Z</dcterms:modified>
</cp:coreProperties>
</file>