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F8192D" w:rsidRPr="001D28BF" w:rsidTr="00836E70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tabs>
                <w:tab w:val="right" w:pos="2891"/>
              </w:tabs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bookmarkStart w:id="0" w:name="_GoBack"/>
            <w:bookmarkEnd w:id="0"/>
            <w:r w:rsidRPr="001D28BF">
              <w:rPr>
                <w:rFonts w:ascii="Century Gothic" w:eastAsia="Times New Roman" w:hAnsi="Century Gothic"/>
                <w:b/>
                <w:bCs/>
              </w:rPr>
              <w:t>CURSO: 5</w:t>
            </w: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ÁREA: 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UNIDAD: 2. NOS NECESITAMOS Y NOS RESPETAMOS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TEMPORALIZACIÓN:</w:t>
            </w:r>
          </w:p>
        </w:tc>
      </w:tr>
      <w:tr w:rsidR="00F8192D" w:rsidRPr="001D28BF" w:rsidTr="00836E70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</w:rPr>
            </w:pPr>
            <w:r w:rsidRPr="001D28BF">
              <w:rPr>
                <w:rFonts w:ascii="Century Gothic" w:eastAsia="Times New Roman" w:hAnsi="Century Gothic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ESTÁNDARES APRENDIZAJE</w:t>
            </w:r>
          </w:p>
        </w:tc>
      </w:tr>
      <w:tr w:rsidR="00F8192D" w:rsidRPr="001D28BF" w:rsidTr="00836E70">
        <w:trPr>
          <w:trHeight w:val="1266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BLOQUE 1. LA IDENTIDAD Y LA DIGNIDAD DE LA PERSONA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F8192D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sz w:val="18"/>
                <w:szCs w:val="18"/>
              </w:rPr>
              <w:t>Identificación y adquisición de habilidades que favorecen la participación cooperativa, abierta y respetuosa.</w:t>
            </w:r>
          </w:p>
          <w:p w:rsidR="00F8192D" w:rsidRPr="001D28BF" w:rsidRDefault="00F8192D" w:rsidP="00F8192D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sz w:val="18"/>
                <w:szCs w:val="18"/>
              </w:rPr>
              <w:t>Identificación y control de emociones ante la toma de decisiones o ante un conflicto cotidiano.</w:t>
            </w:r>
          </w:p>
          <w:p w:rsidR="00F8192D" w:rsidRPr="001D28BF" w:rsidRDefault="00F8192D" w:rsidP="00F8192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CL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 xml:space="preserve">CSC 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AA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IE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F8192D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Desarrollar el propio potencial, manteniendo una motivación intrínseca y esforzándose para el logro de éxitos individuales y compartidos.</w:t>
            </w:r>
          </w:p>
          <w:p w:rsidR="00F8192D" w:rsidRPr="001D28BF" w:rsidRDefault="00F8192D" w:rsidP="00F8192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B1-6.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Desarrollar la autonomía y la capacidad de emprendimiento para conseguir logros personales, responsabilizándose del bien común.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F8192D" w:rsidRPr="001D28BF" w:rsidTr="00836E70">
              <w:tc>
                <w:tcPr>
                  <w:tcW w:w="1460" w:type="pct"/>
                </w:tcPr>
                <w:p w:rsidR="00F8192D" w:rsidRPr="001D28BF" w:rsidRDefault="00F8192D" w:rsidP="00F8192D">
                  <w:pPr>
                    <w:spacing w:after="106" w:line="260" w:lineRule="exac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  <w:lang w:eastAsia="es-ES"/>
                    </w:rPr>
                    <w:t>B1-2.1</w:t>
                  </w: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1D28BF">
                    <w:rPr>
                      <w:rFonts w:ascii="Century Gothic" w:hAnsi="Century Gothic" w:cs="Arial"/>
                      <w:sz w:val="18"/>
                      <w:szCs w:val="18"/>
                      <w:lang w:eastAsia="es-ES"/>
                    </w:rPr>
                    <w:t>Trabaja en equipo valorando el esfuerzo individual y colectivo para la consecución de objetivos.</w:t>
                  </w:r>
                </w:p>
              </w:tc>
            </w:tr>
            <w:tr w:rsidR="00F8192D" w:rsidRPr="001D28BF" w:rsidTr="00836E70">
              <w:trPr>
                <w:trHeight w:val="1423"/>
              </w:trPr>
              <w:tc>
                <w:tcPr>
                  <w:tcW w:w="1460" w:type="pct"/>
                  <w:tcBorders>
                    <w:bottom w:val="single" w:sz="4" w:space="0" w:color="auto"/>
                  </w:tcBorders>
                </w:tcPr>
                <w:p w:rsidR="00F8192D" w:rsidRPr="001D28BF" w:rsidRDefault="00F8192D" w:rsidP="00F8192D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B1-6.4.</w:t>
                  </w:r>
                  <w:r w:rsidRPr="001D28BF">
                    <w:rPr>
                      <w:rFonts w:ascii="Century Gothic" w:hAnsi="Century Gothic" w:cs="Arial"/>
                      <w:sz w:val="18"/>
                      <w:szCs w:val="18"/>
                    </w:rPr>
                    <w:t>Define y formula claramente problemas de convivencia.</w:t>
                  </w:r>
                </w:p>
              </w:tc>
            </w:tr>
          </w:tbl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192D" w:rsidRPr="001D28BF" w:rsidTr="00836E70">
        <w:trPr>
          <w:trHeight w:val="675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BLOQUE 2. LA COMPRENSIÓN Y EL RESPETO EN LAS RELACIONES INTERPERSONALES.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La importancia de los gestos: el lenguaje no verbal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La organización de un debate.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Adquisición y empleo de herramientas para el diálogo.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Las actitudes de empatía.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El valor de la diversidad social, cultural y religiosa.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Estrategias para combatir los tópicos, los estereotipos y los prejuicios.</w:t>
            </w:r>
          </w:p>
          <w:p w:rsidR="001D28BF" w:rsidRPr="001D28BF" w:rsidRDefault="001D28BF" w:rsidP="001D28BF">
            <w:pPr>
              <w:pStyle w:val="Lista"/>
              <w:numPr>
                <w:ilvl w:val="0"/>
                <w:numId w:val="9"/>
              </w:numPr>
              <w:tabs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9"/>
                <w:szCs w:val="19"/>
              </w:rPr>
            </w:pPr>
            <w:r w:rsidRPr="001D28BF">
              <w:rPr>
                <w:rFonts w:ascii="Century Gothic" w:hAnsi="Century Gothic" w:cs="Arial"/>
                <w:sz w:val="19"/>
                <w:szCs w:val="19"/>
              </w:rPr>
              <w:t>El valor de la amistad y las relaciones afectivas.</w:t>
            </w:r>
          </w:p>
          <w:p w:rsidR="00F8192D" w:rsidRPr="001D28BF" w:rsidRDefault="00F8192D" w:rsidP="001D28BF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CMCT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CL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AA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IE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CEC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B2-1.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Expresar opiniones, sentimientos y emociones utilizando coordinadamente el lenguaje verbal y no verbal.</w:t>
            </w:r>
          </w:p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B2-2.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Utilizar habilidades de escucha y el pensamiento de perspectiva con empatía.</w:t>
            </w:r>
          </w:p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B2-4.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Iniciar, mantener y finalizar conversaciones con una manera de hablar adecuada a los interlocutores y el contexto, teniendo en cuenta los factores que inhiben la comunicación para superar barreras y los que permiten lograr cercanía.</w:t>
            </w:r>
          </w:p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B2-6.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Establecer relaciones interpersonales positivas empleando habilidades sociales.</w:t>
            </w:r>
          </w:p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B2-7.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Actuar con tolerancia comprendiendo y aceptando las diferencias.</w:t>
            </w:r>
          </w:p>
          <w:p w:rsidR="001D28BF" w:rsidRPr="001D28BF" w:rsidRDefault="001D28BF" w:rsidP="001D28B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B2-8.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Analizar críticamente las consecuencias de los prejuicios sociales, reflexionando sobre los problemas que provocan y su efecto en las personas que los sufren.</w:t>
            </w:r>
          </w:p>
          <w:p w:rsidR="00F8192D" w:rsidRPr="001D28BF" w:rsidRDefault="001D28BF" w:rsidP="001D28B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D28BF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B2-9.</w:t>
            </w:r>
            <w:r w:rsidRPr="001D28BF">
              <w:rPr>
                <w:rFonts w:ascii="Century Gothic" w:hAnsi="Century Gothic" w:cs="Arial"/>
                <w:sz w:val="18"/>
                <w:szCs w:val="18"/>
              </w:rPr>
              <w:t>Contribuir a la mejora del clima del grupo mostrando actitudes cooperativas y estableciendo relaciones respetuosas.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tbl>
            <w:tblPr>
              <w:tblW w:w="459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"/>
              <w:gridCol w:w="4136"/>
              <w:gridCol w:w="389"/>
            </w:tblGrid>
            <w:tr w:rsidR="001D28BF" w:rsidRPr="001D28BF" w:rsidTr="001D28BF">
              <w:tc>
                <w:tcPr>
                  <w:tcW w:w="5000" w:type="pct"/>
                  <w:gridSpan w:val="3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B2-1.2.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Emplea apropiadamente los elementos de la comunicación verbal y no verbal, en consonancia con los sentimientos.</w:t>
                  </w:r>
                </w:p>
              </w:tc>
            </w:tr>
            <w:tr w:rsidR="001D28BF" w:rsidRPr="001D28BF" w:rsidTr="001D28BF">
              <w:tc>
                <w:tcPr>
                  <w:tcW w:w="5000" w:type="pct"/>
                  <w:gridSpan w:val="3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B2-1.3.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Utiliza la comunicación verbal en relación con la no verbal en exposiciones orales y debates.</w:t>
                  </w:r>
                </w:p>
              </w:tc>
            </w:tr>
            <w:tr w:rsidR="001D28BF" w:rsidRPr="001D28BF" w:rsidTr="001D28BF">
              <w:tc>
                <w:tcPr>
                  <w:tcW w:w="5000" w:type="pct"/>
                  <w:gridSpan w:val="3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B2-2.2.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 Dialoga interpretando y dando sentido a lo que oye.</w:t>
                  </w:r>
                </w:p>
              </w:tc>
            </w:tr>
            <w:tr w:rsidR="001D28BF" w:rsidRPr="001D28BF" w:rsidTr="001D28BF">
              <w:tc>
                <w:tcPr>
                  <w:tcW w:w="5000" w:type="pct"/>
                  <w:gridSpan w:val="3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B2-4.4.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Utiliza los elementos que contribuyen al diálogo</w:t>
                  </w:r>
                  <w:r w:rsidRPr="001D28BF">
                    <w:rPr>
                      <w:rFonts w:ascii="Century Gothic" w:hAnsi="Century Gothic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1D28BF" w:rsidRPr="001D28BF" w:rsidTr="001D28BF">
              <w:tc>
                <w:tcPr>
                  <w:tcW w:w="5000" w:type="pct"/>
                  <w:gridSpan w:val="3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color w:val="000000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B2-4.5.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Reconoce los elementos que bloquean la comunicación en diferentes situaciones.</w:t>
                  </w:r>
                </w:p>
              </w:tc>
            </w:tr>
            <w:tr w:rsidR="001D28BF" w:rsidRPr="001D28BF" w:rsidTr="001D28BF">
              <w:tblPrEx>
                <w:tblLook w:val="00A0"/>
              </w:tblPrEx>
              <w:trPr>
                <w:gridBefore w:val="1"/>
                <w:gridAfter w:val="1"/>
                <w:wBefore w:w="75" w:type="pct"/>
                <w:wAfter w:w="423" w:type="pct"/>
                <w:trHeight w:val="570"/>
              </w:trPr>
              <w:tc>
                <w:tcPr>
                  <w:tcW w:w="4502" w:type="pct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B2-6.1.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Interacciona con empatía.</w:t>
                  </w:r>
                </w:p>
              </w:tc>
            </w:tr>
            <w:tr w:rsidR="001D28BF" w:rsidRPr="001D28BF" w:rsidTr="001D28BF">
              <w:tblPrEx>
                <w:tblLook w:val="00A0"/>
              </w:tblPrEx>
              <w:trPr>
                <w:gridBefore w:val="1"/>
                <w:gridAfter w:val="1"/>
                <w:wBefore w:w="75" w:type="pct"/>
                <w:wAfter w:w="423" w:type="pct"/>
                <w:trHeight w:val="990"/>
              </w:trPr>
              <w:tc>
                <w:tcPr>
                  <w:tcW w:w="4502" w:type="pct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B2-7.4.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Comprende y aprecia positivamente las diferencias culturales.</w:t>
                  </w:r>
                </w:p>
              </w:tc>
            </w:tr>
            <w:tr w:rsidR="001D28BF" w:rsidRPr="001D28BF" w:rsidTr="001D28BF">
              <w:tblPrEx>
                <w:tblLook w:val="00A0"/>
              </w:tblPrEx>
              <w:trPr>
                <w:gridBefore w:val="1"/>
                <w:gridAfter w:val="1"/>
                <w:wBefore w:w="75" w:type="pct"/>
                <w:wAfter w:w="423" w:type="pct"/>
                <w:trHeight w:val="1032"/>
              </w:trPr>
              <w:tc>
                <w:tcPr>
                  <w:tcW w:w="4502" w:type="pct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B2-8.1.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Analiza los problemas que originan los prejuicios sociales.</w:t>
                  </w:r>
                </w:p>
              </w:tc>
            </w:tr>
            <w:tr w:rsidR="001D28BF" w:rsidRPr="001D28BF" w:rsidTr="001D28BF">
              <w:tblPrEx>
                <w:tblLook w:val="00A0"/>
              </w:tblPrEx>
              <w:trPr>
                <w:gridBefore w:val="1"/>
                <w:gridAfter w:val="1"/>
                <w:wBefore w:w="75" w:type="pct"/>
                <w:wAfter w:w="423" w:type="pct"/>
                <w:trHeight w:val="666"/>
              </w:trPr>
              <w:tc>
                <w:tcPr>
                  <w:tcW w:w="4502" w:type="pct"/>
                </w:tcPr>
                <w:p w:rsidR="001D28BF" w:rsidRPr="001D28BF" w:rsidRDefault="001D28BF" w:rsidP="001D28BF">
                  <w:pPr>
                    <w:pStyle w:val="Lista"/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lastRenderedPageBreak/>
                    <w:t>B2-8.3.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  <w:lang w:val="es-ES_tradnl"/>
                    </w:rPr>
                    <w:t xml:space="preserve"> Detecta y enjuicia críticamente prejuicios sociales detectados en su entorno próximo expresando las conclusiones en trabajos creativos</w:t>
                  </w:r>
                  <w:r w:rsidRPr="001D28BF">
                    <w:rPr>
                      <w:rFonts w:ascii="Century Gothic" w:hAnsi="Century Gothic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1D28BF" w:rsidRPr="001D28BF" w:rsidTr="001D28BF">
              <w:tblPrEx>
                <w:tblLook w:val="00A0"/>
              </w:tblPrEx>
              <w:trPr>
                <w:gridBefore w:val="1"/>
                <w:gridAfter w:val="1"/>
                <w:wBefore w:w="75" w:type="pct"/>
                <w:wAfter w:w="423" w:type="pct"/>
                <w:trHeight w:val="375"/>
              </w:trPr>
              <w:tc>
                <w:tcPr>
                  <w:tcW w:w="4502" w:type="pct"/>
                </w:tcPr>
                <w:p w:rsidR="001D28BF" w:rsidRPr="001D28BF" w:rsidRDefault="001D28BF" w:rsidP="001D28B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color w:val="996600"/>
                      <w:sz w:val="19"/>
                      <w:szCs w:val="19"/>
                    </w:rPr>
                    <w:t>B2-9.4.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Expone mediante historias creativas las características de la amistad.</w:t>
                  </w:r>
                </w:p>
              </w:tc>
            </w:tr>
          </w:tbl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8192D" w:rsidRPr="001D28BF" w:rsidRDefault="00F8192D" w:rsidP="00F8192D">
      <w:pPr>
        <w:rPr>
          <w:rFonts w:ascii="Century Gothic" w:hAnsi="Century Gothic"/>
        </w:rPr>
      </w:pPr>
    </w:p>
    <w:p w:rsidR="00F8192D" w:rsidRPr="001D28BF" w:rsidRDefault="00F8192D" w:rsidP="00F8192D">
      <w:pPr>
        <w:rPr>
          <w:rFonts w:ascii="Century Gothic" w:hAnsi="Century Gothic"/>
        </w:rPr>
      </w:pPr>
      <w:r w:rsidRPr="001D28BF"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10"/>
        <w:gridCol w:w="498"/>
        <w:gridCol w:w="3834"/>
        <w:gridCol w:w="3091"/>
        <w:gridCol w:w="756"/>
        <w:gridCol w:w="3863"/>
      </w:tblGrid>
      <w:tr w:rsidR="00F8192D" w:rsidRPr="001D28BF" w:rsidTr="008D2B80">
        <w:tc>
          <w:tcPr>
            <w:tcW w:w="3310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tabs>
                <w:tab w:val="right" w:pos="2891"/>
              </w:tabs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lastRenderedPageBreak/>
              <w:t xml:space="preserve">CURSO: </w:t>
            </w:r>
            <w:r w:rsidR="00833068">
              <w:rPr>
                <w:rFonts w:ascii="Century Gothic" w:eastAsia="Times New Roman" w:hAnsi="Century Gothic"/>
                <w:b/>
                <w:bCs/>
              </w:rPr>
              <w:t>5º</w:t>
            </w: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 xml:space="preserve">ÁREA: </w:t>
            </w:r>
            <w:r w:rsidR="00833068">
              <w:rPr>
                <w:rFonts w:ascii="Century Gothic" w:eastAsia="Times New Roman" w:hAnsi="Century Gothic"/>
                <w:b/>
                <w:bCs/>
              </w:rPr>
              <w:t>VALORES</w:t>
            </w:r>
          </w:p>
        </w:tc>
        <w:tc>
          <w:tcPr>
            <w:tcW w:w="7423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 xml:space="preserve">UNIDAD: </w:t>
            </w:r>
            <w:r w:rsidR="00833068">
              <w:rPr>
                <w:rFonts w:ascii="Century Gothic" w:eastAsia="Times New Roman" w:hAnsi="Century Gothic"/>
                <w:b/>
                <w:bCs/>
              </w:rPr>
              <w:t>T. 2 NOS NECESITAMOS Y NOS RESPETAMOS</w:t>
            </w:r>
          </w:p>
        </w:tc>
        <w:tc>
          <w:tcPr>
            <w:tcW w:w="4619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TEMPORALIZACIÓN: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</w:tr>
      <w:tr w:rsidR="00F8192D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Diseño de actividades:</w:t>
            </w:r>
          </w:p>
        </w:tc>
        <w:tc>
          <w:tcPr>
            <w:tcW w:w="1154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8D2B80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Orientaciones metodológicas</w:t>
            </w:r>
          </w:p>
        </w:tc>
        <w:tc>
          <w:tcPr>
            <w:tcW w:w="38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Modelo metodológico</w:t>
            </w:r>
          </w:p>
          <w:p w:rsidR="008D2B80" w:rsidRPr="001D28BF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Modelo discursivo/expositivo.</w:t>
            </w: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Modelo experiencial.</w:t>
            </w: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Talleres.</w:t>
            </w: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A3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Aprendizaje cooperativo.</w:t>
            </w: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Trabajo por tareas.</w:t>
            </w:r>
          </w:p>
          <w:p w:rsidR="008D2B80" w:rsidRPr="001D28BF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A3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Trabajo por proyectos.</w:t>
            </w:r>
          </w:p>
          <w:p w:rsidR="008D2B80" w:rsidRPr="001D28BF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A3"/>
            </w:r>
            <w:r w:rsidRPr="001D28BF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Otros</w:t>
            </w: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84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8D2B80" w:rsidRDefault="008D2B80" w:rsidP="008D2B80">
            <w:pPr>
              <w:spacing w:after="106" w:line="260" w:lineRule="exact"/>
              <w:rPr>
                <w:rFonts w:ascii="Century Gothic" w:hAnsi="Century Gothic" w:cs="Arial"/>
                <w:b/>
              </w:rPr>
            </w:pPr>
            <w:r w:rsidRPr="008D2B80">
              <w:rPr>
                <w:rFonts w:ascii="Century Gothic" w:hAnsi="Century Gothic" w:cs="Arial"/>
                <w:b/>
              </w:rPr>
              <w:t>Procedimientos metodológicos: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8D2B80" w:rsidRPr="00EF2595" w:rsidRDefault="008D2B80" w:rsidP="008D2B80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8D2B80" w:rsidRPr="00EF2595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8D2B80" w:rsidRPr="00EF2595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D2B80" w:rsidRPr="00EF2595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Agrupamientos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Tareas individuales.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Agrupamiento flexible.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Parejas.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Pequeño grupo.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Gran grupo.</w:t>
            </w:r>
          </w:p>
          <w:p w:rsidR="008D2B80" w:rsidRPr="008D2B80" w:rsidRDefault="008D2B80" w:rsidP="008D2B80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Grupo interclase.</w:t>
            </w:r>
          </w:p>
          <w:p w:rsidR="008D2B80" w:rsidRPr="008D2B80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8D2B80">
              <w:sym w:font="Wingdings 2" w:char="F0A3"/>
            </w:r>
            <w:r w:rsidRPr="008D2B80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8D2B80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Contenidos transversales:</w:t>
            </w:r>
          </w:p>
        </w:tc>
        <w:tc>
          <w:tcPr>
            <w:tcW w:w="1154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18"/>
            </w:tblGrid>
            <w:tr w:rsidR="008D2B80" w:rsidRPr="003233E7" w:rsidTr="00836E70">
              <w:tc>
                <w:tcPr>
                  <w:tcW w:w="4213" w:type="pct"/>
                  <w:vAlign w:val="center"/>
                </w:tcPr>
                <w:p w:rsidR="008D2B80" w:rsidRPr="001D28BF" w:rsidRDefault="008D2B80" w:rsidP="008D2B8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sz w:val="19"/>
                      <w:szCs w:val="19"/>
                    </w:rPr>
                    <w:t>Comprensión lectora.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 Lámina de inicio del trimestre (páginas 40 y 41);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>¿Controlamos nuestros gestos?; ¿Gritamos o hablamos?Exposición, diálogo y debate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 (páginas 43, 46, 47);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¿Qué ha sucedido?; Los diferentes puntos de vista y la empatía; el amigo fiel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50, 51, 54);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 Fiestas de la tolerancia; Guerra a los prejuicios; No es mi problema; Nos enfrentamos a dilemas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(páginas 58, 59, 62, 63);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¿derechos de todos?; Los Derechos Humanos; ¿Igualdad?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66, 67, 71).</w:t>
                  </w:r>
                </w:p>
              </w:tc>
            </w:tr>
            <w:tr w:rsidR="008D2B80" w:rsidRPr="003233E7" w:rsidTr="00836E70">
              <w:tc>
                <w:tcPr>
                  <w:tcW w:w="4213" w:type="pct"/>
                  <w:vAlign w:val="center"/>
                </w:tcPr>
                <w:p w:rsidR="008D2B80" w:rsidRPr="001D28BF" w:rsidRDefault="008D2B80" w:rsidP="008D2B8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sz w:val="19"/>
                      <w:szCs w:val="19"/>
                    </w:rPr>
                    <w:t>Expresión oral y escrita.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 Lámina de inicio del trimestre (páginas 40 y 41);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¿Controlamos nuestros gestos?; ¿Gritamos o hablamos?¿Escuchamos a los demás?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(páginas 43, 46 y 49);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¿Qué ha sucedido? Los diferentes puntos de vista y la empatía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(páginas 50, 51);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Fiestas de la tolerancia; No es mi problema; ¿derechos de todos?; Los Derechos Humanos; chicos y chicas ¿Igualdad?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58, 62, 66, 67, 70, 71).</w:t>
                  </w:r>
                </w:p>
              </w:tc>
            </w:tr>
            <w:tr w:rsidR="008D2B80" w:rsidRPr="003233E7" w:rsidTr="00836E70">
              <w:trPr>
                <w:trHeight w:val="64"/>
              </w:trPr>
              <w:tc>
                <w:tcPr>
                  <w:tcW w:w="4213" w:type="pct"/>
                  <w:vAlign w:val="center"/>
                </w:tcPr>
                <w:p w:rsidR="008D2B80" w:rsidRPr="001D28BF" w:rsidRDefault="008D2B80" w:rsidP="008D2B8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sz w:val="19"/>
                      <w:szCs w:val="19"/>
                    </w:rPr>
                    <w:t>Comunicación audiovisual.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 xml:space="preserve"> Lámina de inicio del trimestre (páginas 40 y 41). 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¿Qué quieres decir?; Juego de diálogo sin palabras; ¿Qué ha sucedido?; el amigo fiel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42, 43, 50, 54)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; Fiestas de la tolerancia ¿Derechos de todos?; chicos y chicas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58, 66, 70).</w:t>
                  </w:r>
                </w:p>
              </w:tc>
            </w:tr>
            <w:tr w:rsidR="008D2B80" w:rsidRPr="003233E7" w:rsidTr="00836E70">
              <w:trPr>
                <w:trHeight w:val="64"/>
              </w:trPr>
              <w:tc>
                <w:tcPr>
                  <w:tcW w:w="4213" w:type="pct"/>
                  <w:vAlign w:val="center"/>
                </w:tcPr>
                <w:p w:rsidR="008D2B80" w:rsidRPr="001D28BF" w:rsidRDefault="008D2B80" w:rsidP="008D2B8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</w:pPr>
                  <w:r w:rsidRPr="001D28BF">
                    <w:rPr>
                      <w:rFonts w:ascii="Century Gothic" w:hAnsi="Century Gothic" w:cs="Arial"/>
                      <w:b/>
                      <w:sz w:val="19"/>
                      <w:szCs w:val="19"/>
                    </w:rPr>
                    <w:t>Emprendimiento.</w:t>
                  </w:r>
                  <w:r w:rsidRPr="001D28BF">
                    <w:rPr>
                      <w:rFonts w:ascii="Century Gothic" w:hAnsi="Century Gothic" w:cs="Arial"/>
                      <w:i/>
                      <w:sz w:val="19"/>
                      <w:szCs w:val="19"/>
                    </w:rPr>
                    <w:t xml:space="preserve">Juego de diálogo sin palabras; Organizamos un debate; representamos roles en la familia; elaboramos un plan de convivencia; nos enfrentamos a un dilema; Planificamos un proyecto sobre los derechos universales; Observamos los papeles del hombre y la mujer en un cuento </w:t>
                  </w:r>
                  <w:r w:rsidRPr="001D28BF">
                    <w:rPr>
                      <w:rFonts w:ascii="Century Gothic" w:hAnsi="Century Gothic" w:cs="Arial"/>
                      <w:sz w:val="19"/>
                      <w:szCs w:val="19"/>
                    </w:rPr>
                    <w:t>(páginas 43, 48, 52, 60, 64, 68, 72).</w:t>
                  </w:r>
                </w:p>
              </w:tc>
            </w:tr>
          </w:tbl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8D2B80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lastRenderedPageBreak/>
              <w:t>T.I.C.s</w:t>
            </w:r>
          </w:p>
        </w:tc>
        <w:tc>
          <w:tcPr>
            <w:tcW w:w="1154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8D2B80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Recursos  para la evaluación</w:t>
            </w:r>
          </w:p>
        </w:tc>
        <w:tc>
          <w:tcPr>
            <w:tcW w:w="38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Procedimiento de evaluación</w:t>
            </w: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8D2B80" w:rsidRPr="001D28BF" w:rsidRDefault="00833068" w:rsidP="00833068">
            <w:pPr>
              <w:spacing w:after="0" w:line="240" w:lineRule="auto"/>
              <w:rPr>
                <w:rFonts w:ascii="Century Gothic" w:hAnsi="Century Gothic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A3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4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Instrumentos de evaluación</w:t>
            </w: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Pruebas de autoevaluación.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Debates e intervenciones.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Proyectos personales o grupales.</w:t>
            </w:r>
          </w:p>
          <w:p w:rsidR="00833068" w:rsidRPr="00833068" w:rsidRDefault="00833068" w:rsidP="00833068">
            <w:pPr>
              <w:spacing w:after="106" w:line="260" w:lineRule="exact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sym w:font="Wingdings 2" w:char="F052"/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8D2B80" w:rsidRPr="00833068" w:rsidRDefault="008D2B80" w:rsidP="0083306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86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Sistema de calificación</w:t>
            </w:r>
          </w:p>
          <w:p w:rsidR="00833068" w:rsidRPr="00833068" w:rsidRDefault="00833068" w:rsidP="00833068">
            <w:pPr>
              <w:spacing w:after="0" w:line="240" w:lineRule="auto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</w:p>
          <w:p w:rsidR="008D2B80" w:rsidRPr="001D28BF" w:rsidRDefault="00833068" w:rsidP="00833068">
            <w:pPr>
              <w:spacing w:after="0" w:line="240" w:lineRule="auto"/>
              <w:rPr>
                <w:rFonts w:ascii="Century Gothic" w:hAnsi="Century Gothic"/>
              </w:rPr>
            </w:pPr>
            <w:r w:rsidRPr="00833068">
              <w:rPr>
                <w:rFonts w:ascii="Century Gothic" w:eastAsia="Times New Roman" w:hAnsi="Century Gothic" w:cs="Arial"/>
                <w:b/>
                <w:sz w:val="18"/>
                <w:szCs w:val="18"/>
              </w:rPr>
              <w:t>Calificación cualitativa:</w:t>
            </w:r>
            <w:r w:rsidRPr="00833068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>.</w:t>
            </w:r>
          </w:p>
        </w:tc>
      </w:tr>
      <w:tr w:rsidR="008D2B80" w:rsidRPr="001D28BF" w:rsidTr="008D2B80">
        <w:tc>
          <w:tcPr>
            <w:tcW w:w="380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Atención a la diversidad</w:t>
            </w:r>
          </w:p>
        </w:tc>
        <w:tc>
          <w:tcPr>
            <w:tcW w:w="1154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:rsidR="008D2B80" w:rsidRPr="001D28BF" w:rsidRDefault="008D2B80" w:rsidP="008D2B8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F8192D" w:rsidRPr="001D28BF" w:rsidRDefault="00F8192D" w:rsidP="00F8192D">
      <w:pPr>
        <w:rPr>
          <w:rFonts w:ascii="Century Gothic" w:hAnsi="Century Gothic"/>
        </w:rPr>
      </w:pPr>
    </w:p>
    <w:p w:rsidR="00F8192D" w:rsidRPr="001D28BF" w:rsidRDefault="00F8192D" w:rsidP="00F8192D">
      <w:pPr>
        <w:rPr>
          <w:rFonts w:ascii="Century Gothic" w:hAnsi="Century Gothic"/>
        </w:rPr>
      </w:pPr>
      <w:r w:rsidRPr="001D28BF"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93"/>
        <w:gridCol w:w="3967"/>
        <w:gridCol w:w="2539"/>
        <w:gridCol w:w="2530"/>
        <w:gridCol w:w="2530"/>
        <w:gridCol w:w="2555"/>
      </w:tblGrid>
      <w:tr w:rsidR="00F8192D" w:rsidRPr="001D28BF" w:rsidTr="00836E70">
        <w:tc>
          <w:tcPr>
            <w:tcW w:w="517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lastRenderedPageBreak/>
              <w:t>INDICADORES DE LOGRO. Rúbricas de evaluación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 xml:space="preserve">CURSO: </w:t>
            </w:r>
          </w:p>
        </w:tc>
        <w:tc>
          <w:tcPr>
            <w:tcW w:w="5180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 xml:space="preserve">ÁREA: 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 xml:space="preserve">Unidad 1: </w:t>
            </w: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Estándares</w:t>
            </w:r>
          </w:p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  <w:r w:rsidRPr="001D28BF">
              <w:rPr>
                <w:rFonts w:ascii="Century Gothic" w:eastAsia="Times New Roman" w:hAnsi="Century Gothic"/>
                <w:b/>
                <w:bCs/>
              </w:rPr>
              <w:t>aprendizaje</w:t>
            </w: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Nivel 1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Nivel 2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Nivel 3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Nivel 4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D28BF">
              <w:rPr>
                <w:rFonts w:ascii="Century Gothic" w:hAnsi="Century Gothic"/>
              </w:rPr>
              <w:t>Calificación</w:t>
            </w: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F8192D" w:rsidRPr="001D28BF" w:rsidTr="00836E70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8192D" w:rsidRPr="001D28BF" w:rsidRDefault="00F8192D" w:rsidP="00836E7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F8192D" w:rsidRPr="001D28BF" w:rsidRDefault="00F8192D" w:rsidP="00F8192D">
      <w:pPr>
        <w:rPr>
          <w:rFonts w:ascii="Century Gothic" w:hAnsi="Century Gothic"/>
        </w:rPr>
      </w:pPr>
    </w:p>
    <w:p w:rsidR="00F8192D" w:rsidRPr="001D28BF" w:rsidRDefault="00F8192D" w:rsidP="00F8192D">
      <w:pPr>
        <w:rPr>
          <w:rFonts w:ascii="Century Gothic" w:hAnsi="Century Gothic"/>
        </w:rPr>
      </w:pPr>
      <w:r w:rsidRPr="001D28BF"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3107"/>
        <w:gridCol w:w="3107"/>
        <w:gridCol w:w="3108"/>
        <w:gridCol w:w="3108"/>
        <w:gridCol w:w="3108"/>
      </w:tblGrid>
      <w:tr w:rsidR="00F8192D" w:rsidRPr="001D28BF" w:rsidTr="00836E70">
        <w:tc>
          <w:tcPr>
            <w:tcW w:w="3107" w:type="dxa"/>
            <w:shd w:val="clear" w:color="auto" w:fill="8064A2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1D28BF">
              <w:rPr>
                <w:rFonts w:ascii="Century Gothic" w:hAnsi="Century Gothic"/>
                <w:b/>
                <w:bCs/>
                <w:color w:val="FFFFFF"/>
              </w:rPr>
              <w:lastRenderedPageBreak/>
              <w:t xml:space="preserve">Curso: </w:t>
            </w:r>
          </w:p>
        </w:tc>
        <w:tc>
          <w:tcPr>
            <w:tcW w:w="6215" w:type="dxa"/>
            <w:gridSpan w:val="2"/>
            <w:shd w:val="clear" w:color="auto" w:fill="8064A2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1D28BF">
              <w:rPr>
                <w:rFonts w:ascii="Century Gothic" w:hAnsi="Century Gothic"/>
                <w:b/>
                <w:bCs/>
                <w:color w:val="FFFFFF"/>
              </w:rPr>
              <w:t xml:space="preserve">Área: </w:t>
            </w:r>
          </w:p>
        </w:tc>
        <w:tc>
          <w:tcPr>
            <w:tcW w:w="3108" w:type="dxa"/>
            <w:shd w:val="clear" w:color="auto" w:fill="8064A2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1D28BF">
              <w:rPr>
                <w:rFonts w:ascii="Century Gothic" w:hAnsi="Century Gothic"/>
                <w:b/>
                <w:bCs/>
                <w:color w:val="FFFFFF"/>
              </w:rPr>
              <w:t xml:space="preserve">Unidad </w:t>
            </w:r>
          </w:p>
        </w:tc>
        <w:tc>
          <w:tcPr>
            <w:tcW w:w="3108" w:type="dxa"/>
            <w:shd w:val="clear" w:color="auto" w:fill="8064A2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</w:rPr>
            </w:pPr>
            <w:r w:rsidRPr="001D28BF">
              <w:rPr>
                <w:rFonts w:ascii="Century Gothic" w:hAnsi="Century Gothic"/>
                <w:b/>
                <w:bCs/>
                <w:color w:val="FFFFFF"/>
              </w:rPr>
              <w:t>De 15/09 a 10/10</w:t>
            </w:r>
          </w:p>
        </w:tc>
      </w:tr>
      <w:tr w:rsidR="00F8192D" w:rsidRPr="001D28BF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15/09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16/09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17/09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18/09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19/09</w:t>
            </w:r>
          </w:p>
        </w:tc>
      </w:tr>
      <w:tr w:rsidR="00F8192D" w:rsidRPr="001D28BF" w:rsidTr="00836E70"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Anee:</w:t>
            </w:r>
          </w:p>
        </w:tc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</w:tr>
      <w:tr w:rsidR="00F8192D" w:rsidRPr="001D28BF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22/09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23/09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24/09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25/09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26/09</w:t>
            </w:r>
          </w:p>
        </w:tc>
      </w:tr>
      <w:tr w:rsidR="00F8192D" w:rsidRPr="001D28BF" w:rsidTr="00836E70"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Anee:</w:t>
            </w:r>
          </w:p>
        </w:tc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</w:tr>
      <w:tr w:rsidR="00F8192D" w:rsidRPr="001D28BF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29/09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30/09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2/10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3/10</w:t>
            </w:r>
          </w:p>
        </w:tc>
      </w:tr>
      <w:tr w:rsidR="00F8192D" w:rsidRPr="001D28BF" w:rsidTr="00836E70"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Anee:</w:t>
            </w:r>
          </w:p>
        </w:tc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</w:tr>
      <w:tr w:rsidR="00F8192D" w:rsidRPr="001D28BF" w:rsidTr="00836E70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6/10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7/10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8/10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9/10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10/10</w:t>
            </w:r>
          </w:p>
        </w:tc>
      </w:tr>
      <w:tr w:rsidR="00F8192D" w:rsidRPr="001D28BF" w:rsidTr="00836E70"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1D28BF">
              <w:rPr>
                <w:rFonts w:ascii="Century Gothic" w:hAnsi="Century Gothic"/>
                <w:b/>
                <w:bCs/>
              </w:rPr>
              <w:t>Anee:</w:t>
            </w:r>
          </w:p>
        </w:tc>
        <w:tc>
          <w:tcPr>
            <w:tcW w:w="3107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  <w:tc>
          <w:tcPr>
            <w:tcW w:w="3108" w:type="dxa"/>
          </w:tcPr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F8192D" w:rsidRPr="001D28BF" w:rsidRDefault="00F8192D" w:rsidP="00836E7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D28BF">
              <w:rPr>
                <w:rFonts w:ascii="Century Gothic" w:hAnsi="Century Gothic"/>
                <w:b/>
              </w:rPr>
              <w:t>Anee:</w:t>
            </w:r>
          </w:p>
        </w:tc>
      </w:tr>
    </w:tbl>
    <w:p w:rsidR="00F8192D" w:rsidRPr="001D28BF" w:rsidRDefault="00F8192D" w:rsidP="00F8192D">
      <w:pPr>
        <w:rPr>
          <w:rFonts w:ascii="Century Gothic" w:hAnsi="Century Gothic"/>
        </w:rPr>
      </w:pPr>
    </w:p>
    <w:p w:rsidR="00F8192D" w:rsidRPr="001D28BF" w:rsidRDefault="00F8192D" w:rsidP="00F8192D">
      <w:pPr>
        <w:rPr>
          <w:rFonts w:ascii="Century Gothic" w:hAnsi="Century Gothic"/>
        </w:rPr>
      </w:pPr>
      <w:r w:rsidRPr="001D28BF">
        <w:rPr>
          <w:rFonts w:ascii="Century Gothic" w:hAnsi="Century Gothic"/>
        </w:rPr>
        <w:br w:type="page"/>
      </w:r>
    </w:p>
    <w:p w:rsidR="00F8192D" w:rsidRPr="001D28BF" w:rsidRDefault="00F8192D" w:rsidP="00F8192D">
      <w:pPr>
        <w:jc w:val="center"/>
        <w:rPr>
          <w:rFonts w:ascii="Century Gothic" w:hAnsi="Century Gothic"/>
          <w:sz w:val="36"/>
          <w:szCs w:val="36"/>
        </w:rPr>
      </w:pPr>
      <w:r w:rsidRPr="001D28BF">
        <w:rPr>
          <w:rFonts w:ascii="Century Gothic" w:hAnsi="Century Gothic"/>
          <w:sz w:val="36"/>
          <w:szCs w:val="36"/>
        </w:rPr>
        <w:lastRenderedPageBreak/>
        <w:t>OBJETIVOS DE LA ETAPA</w:t>
      </w:r>
    </w:p>
    <w:p w:rsidR="00F8192D" w:rsidRPr="001D28BF" w:rsidRDefault="00F8192D" w:rsidP="00F8192D">
      <w:pPr>
        <w:jc w:val="center"/>
        <w:rPr>
          <w:rFonts w:ascii="Century Gothic" w:hAnsi="Century Gothic"/>
          <w:sz w:val="36"/>
          <w:szCs w:val="36"/>
        </w:rPr>
      </w:pP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Conocer los aspectos fundamentales de las Ciencias de la Naturaleza, las Ciencias Sociales, la Geografía, la Historia y la Cultura.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Utilizar diferentes representaciones y expresiones artísticas e iniciarse en la construcción de propuestas visuales y audiovisuales.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Conocer y valorar los animales y las plantas y adoptar modos de comportamiento que favorezcan su cuidado.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lastRenderedPageBreak/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F8192D" w:rsidRPr="001D28BF" w:rsidRDefault="00F8192D" w:rsidP="00F8192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Fomentar la educación vial y el respeto a las normas para evitar accidentes de tráfico.</w:t>
      </w:r>
    </w:p>
    <w:p w:rsidR="00F8192D" w:rsidRPr="001D28BF" w:rsidRDefault="00F8192D" w:rsidP="00F8192D">
      <w:pPr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br w:type="page"/>
      </w:r>
    </w:p>
    <w:p w:rsidR="00F8192D" w:rsidRPr="001D28BF" w:rsidRDefault="00F8192D" w:rsidP="00F8192D">
      <w:pPr>
        <w:pStyle w:val="Prrafodelista"/>
        <w:jc w:val="center"/>
        <w:rPr>
          <w:rFonts w:ascii="Century Gothic" w:hAnsi="Century Gothic"/>
          <w:sz w:val="36"/>
          <w:szCs w:val="36"/>
        </w:rPr>
      </w:pPr>
      <w:r w:rsidRPr="001D28BF">
        <w:rPr>
          <w:rFonts w:ascii="Century Gothic" w:hAnsi="Century Gothic"/>
          <w:sz w:val="36"/>
          <w:szCs w:val="36"/>
        </w:rPr>
        <w:lastRenderedPageBreak/>
        <w:t>COMPETENCIAS</w:t>
      </w:r>
    </w:p>
    <w:p w:rsidR="00F8192D" w:rsidRPr="001D28BF" w:rsidRDefault="00F8192D" w:rsidP="00F8192D">
      <w:pPr>
        <w:jc w:val="both"/>
        <w:rPr>
          <w:rFonts w:ascii="Century Gothic" w:hAnsi="Century Gothic"/>
          <w:sz w:val="36"/>
          <w:szCs w:val="36"/>
        </w:rPr>
      </w:pP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Comunicación lingüística.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Comunicación matemática y competencias básicas en ciencia y tecnología.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Competencia digital.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Aprender a aprender.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Competencias sociales y cívicas.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Sentido de iniciativa y espíritu emprendedor.</w:t>
      </w:r>
    </w:p>
    <w:p w:rsidR="00F8192D" w:rsidRPr="001D28BF" w:rsidRDefault="00F8192D" w:rsidP="00F8192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1D28BF">
        <w:rPr>
          <w:rFonts w:ascii="Century Gothic" w:hAnsi="Century Gothic"/>
          <w:sz w:val="24"/>
          <w:szCs w:val="24"/>
        </w:rPr>
        <w:t>Conciencia y expresiones culturales.</w:t>
      </w:r>
    </w:p>
    <w:p w:rsidR="00812A22" w:rsidRPr="001D28BF" w:rsidRDefault="00812A22">
      <w:pPr>
        <w:rPr>
          <w:rFonts w:ascii="Century Gothic" w:hAnsi="Century Gothic"/>
        </w:rPr>
      </w:pPr>
    </w:p>
    <w:sectPr w:rsidR="00812A22" w:rsidRPr="001D28BF" w:rsidSect="006D38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8192D"/>
    <w:rsid w:val="001D28BF"/>
    <w:rsid w:val="002242D5"/>
    <w:rsid w:val="002C40EC"/>
    <w:rsid w:val="003F207C"/>
    <w:rsid w:val="007D4A86"/>
    <w:rsid w:val="00812A22"/>
    <w:rsid w:val="00833068"/>
    <w:rsid w:val="008D2B80"/>
    <w:rsid w:val="00F8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92D"/>
    <w:pPr>
      <w:ind w:left="720"/>
      <w:contextualSpacing/>
    </w:pPr>
  </w:style>
  <w:style w:type="paragraph" w:styleId="Lista">
    <w:name w:val="List"/>
    <w:basedOn w:val="Normal"/>
    <w:rsid w:val="00F8192D"/>
    <w:pPr>
      <w:tabs>
        <w:tab w:val="left" w:pos="284"/>
      </w:tabs>
      <w:spacing w:before="120" w:after="0" w:line="240" w:lineRule="auto"/>
      <w:jc w:val="both"/>
    </w:pPr>
    <w:rPr>
      <w:rFonts w:ascii="Arial" w:hAnsi="Arial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2</cp:revision>
  <dcterms:created xsi:type="dcterms:W3CDTF">2020-10-22T10:30:00Z</dcterms:created>
  <dcterms:modified xsi:type="dcterms:W3CDTF">2020-10-22T10:30:00Z</dcterms:modified>
</cp:coreProperties>
</file>