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1481"/>
        <w:gridCol w:w="316"/>
        <w:gridCol w:w="1797"/>
        <w:gridCol w:w="1797"/>
      </w:tblGrid>
      <w:tr w:rsidR="00932507" w14:paraId="512370EB" w14:textId="77777777" w:rsidTr="00CB6D8C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683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1A785749" w:rsidR="009C0468" w:rsidRPr="00CB6D8C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CB6D8C">
              <w:rPr>
                <w:rFonts w:ascii="Arial Hebrew Scholar" w:hAnsi="Arial Hebrew Scholar" w:cs="Arial Hebrew Scholar"/>
                <w:b/>
                <w:szCs w:val="28"/>
              </w:rPr>
              <w:t xml:space="preserve"> 7. </w:t>
            </w:r>
            <w:r w:rsidR="00CB6D8C">
              <w:rPr>
                <w:rFonts w:ascii="Cambria" w:hAnsi="Cambria" w:cs="Arial Hebrew Scholar"/>
                <w:b/>
                <w:szCs w:val="28"/>
              </w:rPr>
              <w:t>La energía y los cambios de la materia</w:t>
            </w:r>
          </w:p>
        </w:tc>
        <w:tc>
          <w:tcPr>
            <w:tcW w:w="3910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0B220E53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CB6D8C">
              <w:rPr>
                <w:rFonts w:ascii="Arial Hebrew Scholar" w:hAnsi="Arial Hebrew Scholar" w:cs="Arial Hebrew Scholar"/>
                <w:b/>
                <w:szCs w:val="28"/>
              </w:rPr>
              <w:t xml:space="preserve"> abril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89721E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7B51DCCB" w:rsidR="0089721E" w:rsidRPr="0089721E" w:rsidRDefault="0089721E" w:rsidP="0089721E">
            <w:pPr>
              <w:spacing w:after="106" w:line="260" w:lineRule="exact"/>
              <w:rPr>
                <w:rFonts w:ascii="Calibri" w:eastAsia="Times New Roman" w:hAnsi="Calibri" w:cs="Calibri"/>
                <w:lang w:val="es-ES"/>
              </w:rPr>
            </w:pPr>
            <w:r w:rsidRPr="0089721E">
              <w:rPr>
                <w:rFonts w:ascii="Calibri" w:eastAsia="Times New Roman" w:hAnsi="Calibri" w:cs="Calibri"/>
                <w:lang w:val="es-ES"/>
              </w:rPr>
              <w:t>Identificación de las mezclas y su separación.</w:t>
            </w:r>
          </w:p>
        </w:tc>
        <w:tc>
          <w:tcPr>
            <w:tcW w:w="2064" w:type="dxa"/>
            <w:gridSpan w:val="2"/>
          </w:tcPr>
          <w:p w14:paraId="25F8F345" w14:textId="3DD908B1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las mezclas y su separación.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4BE73B8A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las mezclas y su separación.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42167A14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identifica </w:t>
            </w:r>
            <w:r>
              <w:rPr>
                <w:rFonts w:ascii="Calibri" w:eastAsia="Times New Roman" w:hAnsi="Calibri" w:cs="Calibri"/>
                <w:lang w:val="es-ES"/>
              </w:rPr>
              <w:t>las mezclas ni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su separación.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674C3CAE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las mezclas </w:t>
            </w:r>
            <w:r>
              <w:rPr>
                <w:rFonts w:ascii="Calibri" w:eastAsia="Times New Roman" w:hAnsi="Calibri" w:cs="Calibri"/>
                <w:lang w:val="es-ES"/>
              </w:rPr>
              <w:t xml:space="preserve">pero no </w:t>
            </w:r>
            <w:r w:rsidRPr="0089721E">
              <w:rPr>
                <w:rFonts w:ascii="Calibri" w:eastAsia="Times New Roman" w:hAnsi="Calibri" w:cs="Calibri"/>
                <w:lang w:val="es-ES"/>
              </w:rPr>
              <w:t>su separación.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21AF5873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las mezclas </w:t>
            </w:r>
            <w:r>
              <w:rPr>
                <w:rFonts w:ascii="Calibri" w:eastAsia="Times New Roman" w:hAnsi="Calibri" w:cs="Calibri"/>
                <w:lang w:val="es-ES"/>
              </w:rPr>
              <w:t>algunas de las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separaci</w:t>
            </w:r>
            <w:r>
              <w:rPr>
                <w:rFonts w:ascii="Calibri" w:eastAsia="Times New Roman" w:hAnsi="Calibri" w:cs="Calibri"/>
                <w:lang w:val="es-ES"/>
              </w:rPr>
              <w:t>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1D889948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las mezclas y su separación.</w:t>
            </w:r>
          </w:p>
        </w:tc>
      </w:tr>
      <w:tr w:rsidR="0089721E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2F53A1BF" w:rsidR="0089721E" w:rsidRPr="0089721E" w:rsidRDefault="0089721E" w:rsidP="0089721E">
            <w:pPr>
              <w:spacing w:after="106" w:line="260" w:lineRule="exact"/>
              <w:rPr>
                <w:rFonts w:ascii="Calibri" w:eastAsia="Times New Roman" w:hAnsi="Calibri" w:cs="Calibri"/>
                <w:lang w:val="es-ES"/>
              </w:rPr>
            </w:pPr>
            <w:r w:rsidRPr="0089721E">
              <w:rPr>
                <w:rFonts w:ascii="Calibri" w:eastAsia="Times New Roman" w:hAnsi="Calibri" w:cs="Calibri"/>
                <w:lang w:val="es-ES"/>
              </w:rPr>
              <w:t>Identificación de los diferentes métodos para separar las mezclas.</w:t>
            </w:r>
          </w:p>
        </w:tc>
        <w:tc>
          <w:tcPr>
            <w:tcW w:w="2064" w:type="dxa"/>
            <w:gridSpan w:val="2"/>
          </w:tcPr>
          <w:p w14:paraId="5BFBF559" w14:textId="7316DE2E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los diferentes métodos para separar las mezclas.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6A010CE9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los diferentes métodos para separar las mezclas.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17E5BC24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los diferentes métodos para separar las mezclas.</w:t>
            </w:r>
          </w:p>
        </w:tc>
        <w:tc>
          <w:tcPr>
            <w:tcW w:w="1797" w:type="dxa"/>
            <w:gridSpan w:val="2"/>
          </w:tcPr>
          <w:p w14:paraId="72EE3E15" w14:textId="317BE0E8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eastAsia="Times New Roman" w:hAnsi="Calibri" w:cs="Calibri"/>
                <w:lang w:val="es-ES"/>
              </w:rPr>
              <w:t>algunos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métodos para separar las mezclas.</w:t>
            </w:r>
          </w:p>
        </w:tc>
        <w:tc>
          <w:tcPr>
            <w:tcW w:w="1797" w:type="dxa"/>
          </w:tcPr>
          <w:p w14:paraId="38D09893" w14:textId="6F1FD83E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eastAsia="Times New Roman" w:hAnsi="Calibri" w:cs="Calibri"/>
                <w:lang w:val="es-ES"/>
              </w:rPr>
              <w:t xml:space="preserve">casi todos los </w:t>
            </w:r>
            <w:r w:rsidRPr="0089721E">
              <w:rPr>
                <w:rFonts w:ascii="Calibri" w:eastAsia="Times New Roman" w:hAnsi="Calibri" w:cs="Calibri"/>
                <w:lang w:val="es-ES"/>
              </w:rPr>
              <w:t>métodos para separar las mezclas.</w:t>
            </w:r>
          </w:p>
        </w:tc>
        <w:tc>
          <w:tcPr>
            <w:tcW w:w="1797" w:type="dxa"/>
          </w:tcPr>
          <w:p w14:paraId="357A1D70" w14:textId="1C6D2D9C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los diferentes métodos para separar las mezclas.</w:t>
            </w:r>
          </w:p>
        </w:tc>
      </w:tr>
      <w:tr w:rsidR="0089721E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49E919C2" w:rsidR="0089721E" w:rsidRPr="0089721E" w:rsidRDefault="0089721E" w:rsidP="0089721E">
            <w:pPr>
              <w:spacing w:after="106" w:line="260" w:lineRule="exact"/>
              <w:rPr>
                <w:rFonts w:ascii="Calibri" w:eastAsia="Times New Roman" w:hAnsi="Calibri" w:cs="Calibri"/>
                <w:lang w:val="es-ES"/>
              </w:rPr>
            </w:pPr>
            <w:r w:rsidRPr="0089721E">
              <w:rPr>
                <w:rFonts w:ascii="Calibri" w:eastAsia="Times New Roman" w:hAnsi="Calibri" w:cs="Calibri"/>
                <w:lang w:val="es-ES"/>
              </w:rPr>
              <w:t>Identificación de las principales características de las reacciones químicas: la combustión, la oxidación y la fermentación.</w:t>
            </w:r>
          </w:p>
        </w:tc>
        <w:tc>
          <w:tcPr>
            <w:tcW w:w="2064" w:type="dxa"/>
            <w:gridSpan w:val="2"/>
          </w:tcPr>
          <w:p w14:paraId="46717E2A" w14:textId="2BD7A0B5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las principales características de las reacciones químicas: la combustión, la oxidación y la fermentación.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427631FC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las principales características de las reacciones químicas: la combustión, la oxidación y la fermentación.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7FD47623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las principales características de las reacciones químicas: la combustión, la oxidación y la fermentación.</w:t>
            </w:r>
          </w:p>
        </w:tc>
        <w:tc>
          <w:tcPr>
            <w:tcW w:w="1797" w:type="dxa"/>
            <w:gridSpan w:val="2"/>
          </w:tcPr>
          <w:p w14:paraId="0E8E0CE1" w14:textId="40FC295E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eastAsia="Times New Roman" w:hAnsi="Calibri" w:cs="Calibri"/>
                <w:lang w:val="es-ES"/>
              </w:rPr>
              <w:t>algunas características principales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de las reacciones químicas: la combustión, la oxidación y la fermentación.</w:t>
            </w:r>
          </w:p>
        </w:tc>
        <w:tc>
          <w:tcPr>
            <w:tcW w:w="1797" w:type="dxa"/>
          </w:tcPr>
          <w:p w14:paraId="7A90D2F9" w14:textId="4EC6D947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eastAsia="Times New Roman" w:hAnsi="Calibri" w:cs="Calibri"/>
                <w:lang w:val="es-ES"/>
              </w:rPr>
              <w:t>casi todas las características principales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de las reacciones químicas: la combustión, la oxidación y la fermentación.</w:t>
            </w:r>
          </w:p>
        </w:tc>
        <w:tc>
          <w:tcPr>
            <w:tcW w:w="1797" w:type="dxa"/>
          </w:tcPr>
          <w:p w14:paraId="20FAA65A" w14:textId="237B73F8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Identifica </w:t>
            </w:r>
            <w:r w:rsidRPr="0089721E">
              <w:rPr>
                <w:rFonts w:ascii="Calibri" w:eastAsia="Times New Roman" w:hAnsi="Calibri" w:cs="Calibri"/>
                <w:lang w:val="es-ES"/>
              </w:rPr>
              <w:t>las principales características de las reacciones químicas: la combustión, la oxidación y la fermentación.</w:t>
            </w:r>
          </w:p>
        </w:tc>
      </w:tr>
      <w:tr w:rsidR="0089721E" w14:paraId="7EBDD94B" w14:textId="77777777" w:rsidTr="008370EB">
        <w:trPr>
          <w:trHeight w:val="688"/>
        </w:trPr>
        <w:tc>
          <w:tcPr>
            <w:tcW w:w="2063" w:type="dxa"/>
          </w:tcPr>
          <w:p w14:paraId="3EDAA283" w14:textId="295D1194" w:rsidR="0089721E" w:rsidRPr="0089721E" w:rsidRDefault="0089721E" w:rsidP="0089721E">
            <w:pPr>
              <w:spacing w:after="106" w:line="260" w:lineRule="exact"/>
              <w:rPr>
                <w:rFonts w:ascii="Calibri" w:eastAsia="Times New Roman" w:hAnsi="Calibri" w:cs="Calibri"/>
                <w:lang w:val="es-ES"/>
              </w:rPr>
            </w:pPr>
            <w:r w:rsidRPr="0089721E">
              <w:rPr>
                <w:rFonts w:ascii="Calibri" w:eastAsia="Times New Roman" w:hAnsi="Calibri" w:cs="Calibri"/>
                <w:lang w:val="es-ES"/>
              </w:rPr>
              <w:t>Reconocimiento de las distintas formas de energía.</w:t>
            </w:r>
          </w:p>
        </w:tc>
        <w:tc>
          <w:tcPr>
            <w:tcW w:w="2064" w:type="dxa"/>
            <w:gridSpan w:val="2"/>
          </w:tcPr>
          <w:p w14:paraId="6A666382" w14:textId="709B51DD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Conocer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las distintas formas de energía.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50468D6" w14:textId="32761EAC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las distintas formas de energía.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4536C830" w14:textId="2FBC99C1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las distintas formas de energía.</w:t>
            </w:r>
          </w:p>
        </w:tc>
        <w:tc>
          <w:tcPr>
            <w:tcW w:w="1797" w:type="dxa"/>
            <w:gridSpan w:val="2"/>
          </w:tcPr>
          <w:p w14:paraId="61AAA962" w14:textId="79B246B2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lang w:val="es-ES"/>
              </w:rPr>
              <w:t xml:space="preserve">algunas </w:t>
            </w:r>
            <w:r w:rsidRPr="0089721E">
              <w:rPr>
                <w:rFonts w:ascii="Calibri" w:eastAsia="Times New Roman" w:hAnsi="Calibri" w:cs="Calibri"/>
                <w:lang w:val="es-ES"/>
              </w:rPr>
              <w:t>formas de energía.</w:t>
            </w:r>
          </w:p>
        </w:tc>
        <w:tc>
          <w:tcPr>
            <w:tcW w:w="1797" w:type="dxa"/>
          </w:tcPr>
          <w:p w14:paraId="6B310D89" w14:textId="59470241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 casi todas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formas distintas de energía.</w:t>
            </w:r>
          </w:p>
        </w:tc>
        <w:tc>
          <w:tcPr>
            <w:tcW w:w="1797" w:type="dxa"/>
          </w:tcPr>
          <w:p w14:paraId="53E1210D" w14:textId="521CB0B5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las distintas formas de energía.</w:t>
            </w:r>
          </w:p>
        </w:tc>
      </w:tr>
      <w:tr w:rsidR="0089721E" w14:paraId="446DAA30" w14:textId="77777777" w:rsidTr="008370EB">
        <w:trPr>
          <w:trHeight w:val="688"/>
        </w:trPr>
        <w:tc>
          <w:tcPr>
            <w:tcW w:w="2063" w:type="dxa"/>
          </w:tcPr>
          <w:p w14:paraId="1ED9FBFA" w14:textId="1E2748D8" w:rsidR="0089721E" w:rsidRPr="0089721E" w:rsidRDefault="0089721E" w:rsidP="0089721E">
            <w:pPr>
              <w:spacing w:after="106" w:line="260" w:lineRule="exact"/>
              <w:rPr>
                <w:rFonts w:ascii="Calibri" w:eastAsia="Times New Roman" w:hAnsi="Calibri" w:cs="Calibri"/>
                <w:lang w:val="es-ES"/>
              </w:rPr>
            </w:pPr>
            <w:r w:rsidRPr="0089721E">
              <w:rPr>
                <w:rFonts w:ascii="Calibri" w:eastAsia="Times New Roman" w:hAnsi="Calibri" w:cs="Calibri"/>
                <w:lang w:val="es-ES"/>
              </w:rPr>
              <w:lastRenderedPageBreak/>
              <w:t>Reconocimiento de la importancia de las reacciones químicas.</w:t>
            </w:r>
          </w:p>
        </w:tc>
        <w:tc>
          <w:tcPr>
            <w:tcW w:w="2064" w:type="dxa"/>
            <w:gridSpan w:val="2"/>
          </w:tcPr>
          <w:p w14:paraId="5F4F78BF" w14:textId="66E02A5A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Conocer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 importancia de las reacciones químicas.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5A30C0AD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 importancia de las reacciones químicas.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EF657BF" w14:textId="22025ED4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 importancia de las reacciones químicas.</w:t>
            </w:r>
          </w:p>
        </w:tc>
        <w:tc>
          <w:tcPr>
            <w:tcW w:w="1797" w:type="dxa"/>
            <w:gridSpan w:val="2"/>
          </w:tcPr>
          <w:p w14:paraId="3B910012" w14:textId="22739A09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 importancia de</w:t>
            </w:r>
            <w:r>
              <w:rPr>
                <w:rFonts w:ascii="Calibri" w:eastAsia="Times New Roman" w:hAnsi="Calibri" w:cs="Calibri"/>
                <w:lang w:val="es-ES"/>
              </w:rPr>
              <w:t xml:space="preserve"> algunas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reacciones químicas.</w:t>
            </w:r>
          </w:p>
        </w:tc>
        <w:tc>
          <w:tcPr>
            <w:tcW w:w="1797" w:type="dxa"/>
          </w:tcPr>
          <w:p w14:paraId="44BC8988" w14:textId="09131111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 importancia de </w:t>
            </w:r>
            <w:r>
              <w:rPr>
                <w:rFonts w:ascii="Calibri" w:eastAsia="Times New Roman" w:hAnsi="Calibri" w:cs="Calibri"/>
                <w:lang w:val="es-ES"/>
              </w:rPr>
              <w:t xml:space="preserve">casi todas </w:t>
            </w:r>
            <w:r w:rsidRPr="0089721E">
              <w:rPr>
                <w:rFonts w:ascii="Calibri" w:eastAsia="Times New Roman" w:hAnsi="Calibri" w:cs="Calibri"/>
                <w:lang w:val="es-ES"/>
              </w:rPr>
              <w:t>las reacciones químicas.</w:t>
            </w:r>
          </w:p>
        </w:tc>
        <w:tc>
          <w:tcPr>
            <w:tcW w:w="1797" w:type="dxa"/>
          </w:tcPr>
          <w:p w14:paraId="0FF4FBD4" w14:textId="31B3F1C3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la importancia de las reacciones químicas.</w:t>
            </w:r>
          </w:p>
        </w:tc>
      </w:tr>
      <w:tr w:rsidR="0089721E" w14:paraId="0BA21BBE" w14:textId="77777777" w:rsidTr="008370EB">
        <w:trPr>
          <w:trHeight w:val="688"/>
        </w:trPr>
        <w:tc>
          <w:tcPr>
            <w:tcW w:w="2063" w:type="dxa"/>
          </w:tcPr>
          <w:p w14:paraId="2E9C1162" w14:textId="77777777" w:rsidR="0089721E" w:rsidRPr="0089721E" w:rsidRDefault="0089721E" w:rsidP="0089721E">
            <w:pPr>
              <w:spacing w:after="106" w:line="260" w:lineRule="exact"/>
              <w:rPr>
                <w:rFonts w:ascii="Calibri" w:eastAsia="Times New Roman" w:hAnsi="Calibri" w:cs="Calibri"/>
                <w:lang w:val="es-ES"/>
              </w:rPr>
            </w:pPr>
            <w:r w:rsidRPr="0089721E">
              <w:rPr>
                <w:rFonts w:ascii="Calibri" w:eastAsia="Times New Roman" w:hAnsi="Calibri" w:cs="Calibri"/>
                <w:lang w:val="es-ES"/>
              </w:rPr>
              <w:t>Clasificación de los distintos cambios de estado de la materia.</w:t>
            </w:r>
          </w:p>
          <w:p w14:paraId="737DF8DD" w14:textId="77777777" w:rsidR="0089721E" w:rsidRPr="0089721E" w:rsidRDefault="0089721E" w:rsidP="0089721E">
            <w:pPr>
              <w:spacing w:after="106" w:line="260" w:lineRule="exact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064" w:type="dxa"/>
            <w:gridSpan w:val="2"/>
          </w:tcPr>
          <w:p w14:paraId="099C07DA" w14:textId="32E50EB5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Clasificar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los distintos cambios de estado de la materia.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1E5F549" w14:textId="214AD01A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Clasifica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los distintos cambios de estado de la materia.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DFFC91D" w14:textId="63A0A50C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clasifica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los distintos cambios de estado de la materia.</w:t>
            </w:r>
          </w:p>
        </w:tc>
        <w:tc>
          <w:tcPr>
            <w:tcW w:w="1797" w:type="dxa"/>
            <w:gridSpan w:val="2"/>
          </w:tcPr>
          <w:p w14:paraId="48D31DF9" w14:textId="050D932F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Clasifica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lang w:val="es-ES"/>
              </w:rPr>
              <w:t>algunos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cambios de estado de la materia.</w:t>
            </w:r>
          </w:p>
        </w:tc>
        <w:tc>
          <w:tcPr>
            <w:tcW w:w="1797" w:type="dxa"/>
          </w:tcPr>
          <w:p w14:paraId="6631BB63" w14:textId="4BA83F2F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Clasifica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lang w:val="es-ES"/>
              </w:rPr>
              <w:t>casi todos los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cambios de estado de la materia.</w:t>
            </w:r>
          </w:p>
        </w:tc>
        <w:tc>
          <w:tcPr>
            <w:tcW w:w="1797" w:type="dxa"/>
          </w:tcPr>
          <w:p w14:paraId="1CEEAE51" w14:textId="63EF434C" w:rsidR="0089721E" w:rsidRPr="008370EB" w:rsidRDefault="0089721E" w:rsidP="00897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Clasifica</w:t>
            </w:r>
            <w:r w:rsidRPr="0089721E">
              <w:rPr>
                <w:rFonts w:ascii="Calibri" w:eastAsia="Times New Roman" w:hAnsi="Calibri" w:cs="Calibri"/>
                <w:lang w:val="es-ES"/>
              </w:rPr>
              <w:t xml:space="preserve"> los distintos cambios de estado de la materia.</w:t>
            </w:r>
          </w:p>
        </w:tc>
      </w:tr>
    </w:tbl>
    <w:p w14:paraId="2B8D6557" w14:textId="1B9B2BE4" w:rsidR="006C6C59" w:rsidRDefault="006C6C59"/>
    <w:p w14:paraId="2AEF906A" w14:textId="4383EA08" w:rsidR="0089721E" w:rsidRDefault="0089721E"/>
    <w:p w14:paraId="36B5FF3C" w14:textId="7F0D81D3" w:rsidR="0089721E" w:rsidRDefault="0089721E"/>
    <w:p w14:paraId="443A8479" w14:textId="13F8E383" w:rsidR="0089721E" w:rsidRDefault="0089721E"/>
    <w:p w14:paraId="4E3CCBFD" w14:textId="0D6A99FB" w:rsidR="0089721E" w:rsidRDefault="0089721E"/>
    <w:p w14:paraId="4DA1E955" w14:textId="57812FBA" w:rsidR="0089721E" w:rsidRDefault="0089721E"/>
    <w:p w14:paraId="1210E836" w14:textId="77777777" w:rsidR="0089721E" w:rsidRDefault="0089721E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1439"/>
        <w:gridCol w:w="1235"/>
        <w:gridCol w:w="2675"/>
      </w:tblGrid>
      <w:tr w:rsidR="00CB6D8C" w14:paraId="37B50F43" w14:textId="77777777" w:rsidTr="00CB6D8C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77777777" w:rsidR="00CB6D8C" w:rsidRPr="008D097E" w:rsidRDefault="00CB6D8C" w:rsidP="00CB6D8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71937BF1" w:rsidR="00CB6D8C" w:rsidRPr="00620962" w:rsidRDefault="00CB6D8C" w:rsidP="00CB6D8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633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2FBCFE77" w:rsidR="00CB6D8C" w:rsidRPr="00620962" w:rsidRDefault="00CB6D8C" w:rsidP="00CB6D8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7. </w:t>
            </w:r>
            <w:r>
              <w:rPr>
                <w:rFonts w:ascii="Cambria" w:hAnsi="Cambria" w:cs="Arial Hebrew Scholar"/>
                <w:b/>
                <w:szCs w:val="28"/>
              </w:rPr>
              <w:t>La energía y los cambios de la materia</w:t>
            </w:r>
          </w:p>
        </w:tc>
        <w:tc>
          <w:tcPr>
            <w:tcW w:w="3910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0491EDD3" w:rsidR="00CB6D8C" w:rsidRPr="00620962" w:rsidRDefault="00CB6D8C" w:rsidP="00CB6D8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abril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89721E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194189BD" w:rsidR="0089721E" w:rsidRPr="00890497" w:rsidRDefault="0089721E" w:rsidP="0089721E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BB5F067" w:rsidR="0089721E" w:rsidRPr="00890497" w:rsidRDefault="0089721E" w:rsidP="0089721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5C8DA024" w14:textId="5DD46147" w:rsidR="0089721E" w:rsidRPr="00890497" w:rsidRDefault="0089721E" w:rsidP="0089721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37A4D409" w:rsidR="0089721E" w:rsidRPr="00890497" w:rsidRDefault="0089721E" w:rsidP="0089721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C70232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024DCD76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Escribe varias razones de por qué el agua es necesaria para nuestra supervivencia. Exponlas en clase.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7401CD54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65B834E9" w14:textId="042EFA98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6D2B43F" w14:textId="76442D75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Individual/gran grupo.</w:t>
            </w:r>
          </w:p>
        </w:tc>
      </w:tr>
      <w:tr w:rsidR="00C70232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7DCFEB60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Enumera las formas de energía que conoces y pon un ejemplo de una situación en la que intervenga cada una de ellas.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5E2364FA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64A951B0" w14:textId="0EE5B512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4EAFAF2B" w14:textId="103ABE20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C70232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2C85B4F8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la diferencia entre las sustancias puras y las mezclas. Pon un ejemplo de cada una.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51CC00D9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29A30F65" w14:textId="1A495442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6F925C45" w14:textId="0A323023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C70232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207C58A6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Define sustancia pura, mezcla heterogénea, mezcla homogénea y aleación.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0922741A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61AA7D76" w14:textId="1B0A402B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49BF021" w14:textId="463A5306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C70232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5D61A7E1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esquema con ayuda de tu compañero de los métodos de separación de mezclas que has aprendido.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177B9F43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gridSpan w:val="2"/>
            <w:vAlign w:val="center"/>
          </w:tcPr>
          <w:p w14:paraId="7B5FC865" w14:textId="7C99926C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497D4F0" w14:textId="247734CE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C70232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067238D6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Realiza un mapa conceptual de los cambios de estado y añade un ejemplo real de cada uno de ellos.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6B64070A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gridSpan w:val="2"/>
            <w:vAlign w:val="center"/>
          </w:tcPr>
          <w:p w14:paraId="45D68A64" w14:textId="776EF660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76EEC8DE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C70232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2FCC01B5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sobre la temperatura de ebullición de la leche. Explica qué es la temperatura de fusión y de la ebullición.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3F8353C5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07320E71" w14:textId="2C317F5D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2660C484" w14:textId="3D7DA67D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C70232" w14:paraId="486EF061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2DF284F" w14:textId="67C7A580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>Explica qué son las reacciones químicas y qué tipos conoces.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61A15B2" w14:textId="719C7362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71BF33F1" w14:textId="3B8885ED" w:rsidR="00C70232" w:rsidRPr="00890497" w:rsidRDefault="00903A65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F389312" w14:textId="0F4E0CE7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C70232" w14:paraId="441B43A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7A99F8C" w14:textId="41FEA7C4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Redacta una lista de transformaciones de energía.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15AA70F" w14:textId="7F869FF3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 w:rsidR="00903A65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gridSpan w:val="2"/>
            <w:vAlign w:val="center"/>
          </w:tcPr>
          <w:p w14:paraId="1DC7C531" w14:textId="2B9B917B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3E49B01" w14:textId="0A28D59B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C70232" w14:paraId="4B087A6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65ED15A" w14:textId="4B0D3F13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Analiza qué tipos de accidentes se pueden producir en el colegio. Debate con tus compañeros cómo evitarlos.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E92596A" w14:textId="0DD82A7D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3F7D0AC1" w14:textId="38E2BDED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3B126063" w14:textId="6D9CEFA2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Parejas</w:t>
            </w:r>
          </w:p>
        </w:tc>
      </w:tr>
      <w:tr w:rsidR="00C70232" w14:paraId="62422A2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286E099" w14:textId="71E12D3B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Debate con tus compañeros, empleando lo que habéis aprendido, por qué un coche de combustión interna sin gasolina no puede funcionar.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B632B04" w14:textId="77A5EF30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267625B3" w14:textId="33D5FF8C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1D911793" w14:textId="33B9621F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C70232" w14:paraId="67C4909D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45B7752" w14:textId="65377548" w:rsidR="00C70232" w:rsidRPr="00890497" w:rsidRDefault="00C70232" w:rsidP="00C70232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3FD4E4C" w14:textId="3BAB5499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77B1745A" w14:textId="36D9474D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DC98A1E" w14:textId="48912705" w:rsidR="00C70232" w:rsidRPr="00890497" w:rsidRDefault="00C70232" w:rsidP="00C7023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0392C0B0" w:rsidR="00670B50" w:rsidRDefault="00670B50"/>
    <w:p w14:paraId="2FF6D98F" w14:textId="2C051094" w:rsidR="0089721E" w:rsidRDefault="0089721E"/>
    <w:p w14:paraId="5959B822" w14:textId="61F9DD4C" w:rsidR="0089721E" w:rsidRDefault="0089721E"/>
    <w:p w14:paraId="49AB8A7F" w14:textId="77777777" w:rsidR="0089721E" w:rsidRDefault="0089721E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6110"/>
        <w:gridCol w:w="3627"/>
      </w:tblGrid>
      <w:tr w:rsidR="00CB6D8C" w:rsidRPr="009C0468" w14:paraId="03888C54" w14:textId="77777777" w:rsidTr="00CB6D8C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77777777" w:rsidR="00CB6D8C" w:rsidRPr="008D097E" w:rsidRDefault="00CB6D8C" w:rsidP="00CB6D8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548652E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61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74763054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7. </w:t>
            </w:r>
            <w:r>
              <w:rPr>
                <w:rFonts w:ascii="Cambria" w:hAnsi="Cambria" w:cs="Arial Hebrew Scholar"/>
                <w:b/>
                <w:szCs w:val="28"/>
              </w:rPr>
              <w:t>La energía y los cambios de la materia</w:t>
            </w:r>
          </w:p>
        </w:tc>
        <w:tc>
          <w:tcPr>
            <w:tcW w:w="362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3DA3C441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abril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C176DB" w:rsidRPr="00670B50" w14:paraId="30E6F254" w14:textId="77777777" w:rsidTr="003906C5">
        <w:trPr>
          <w:trHeight w:val="529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C176DB" w:rsidRPr="00890497" w:rsidRDefault="00C176DB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378E77D4" w:rsidR="00C176DB" w:rsidRPr="00670B50" w:rsidRDefault="00C176DB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C176DB" w:rsidRPr="00670B50" w14:paraId="54DD4D89" w14:textId="77777777" w:rsidTr="003906C5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7859347E" w14:textId="77777777" w:rsidR="00C176DB" w:rsidRPr="00890497" w:rsidRDefault="00C176DB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13FBA5D" w14:textId="64F0DA0D" w:rsidR="00C176DB" w:rsidRPr="00047819" w:rsidRDefault="00C176DB" w:rsidP="00890497">
            <w:pPr>
              <w:rPr>
                <w:rFonts w:ascii="Calibri" w:hAnsi="Calibri" w:cs="Calibri"/>
                <w:szCs w:val="20"/>
              </w:rPr>
            </w:pPr>
            <w:r>
              <w:t>Buscar información sobre la temperatura de ebullición de la leche. Explica qué es la temperatura de fusión y de la ebullición.</w:t>
            </w:r>
          </w:p>
        </w:tc>
      </w:tr>
      <w:tr w:rsidR="00C176DB" w:rsidRPr="00670B50" w14:paraId="5C59507E" w14:textId="77777777" w:rsidTr="003906C5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3D4C1424" w14:textId="77777777" w:rsidR="00C176DB" w:rsidRPr="00890497" w:rsidRDefault="00C176DB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2AAD7B20" w14:textId="7FB9EF6B" w:rsidR="00C176DB" w:rsidRDefault="00C176DB" w:rsidP="00890497">
            <w:r>
              <w:t>Elaboración de un programa de radio y emisión.</w:t>
            </w:r>
            <w:bookmarkStart w:id="0" w:name="_GoBack"/>
            <w:bookmarkEnd w:id="0"/>
          </w:p>
        </w:tc>
      </w:tr>
    </w:tbl>
    <w:p w14:paraId="4A59840B" w14:textId="77777777" w:rsidR="00670B50" w:rsidRDefault="00670B50"/>
    <w:p w14:paraId="7DE6191E" w14:textId="77777777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1258"/>
        <w:gridCol w:w="3202"/>
      </w:tblGrid>
      <w:tr w:rsidR="00CB6D8C" w14:paraId="2570C431" w14:textId="77777777" w:rsidTr="00CB6D8C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CB6D8C" w:rsidRPr="008D097E" w:rsidRDefault="00CB6D8C" w:rsidP="00CB6D8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717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2F248653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7. </w:t>
            </w:r>
            <w:r>
              <w:rPr>
                <w:rFonts w:ascii="Cambria" w:hAnsi="Cambria" w:cs="Arial Hebrew Scholar"/>
                <w:b/>
                <w:szCs w:val="28"/>
              </w:rPr>
              <w:t>La energía y los cambios de la materia</w:t>
            </w:r>
          </w:p>
        </w:tc>
        <w:tc>
          <w:tcPr>
            <w:tcW w:w="320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27E507AE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abril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4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gridSpan w:val="2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gridSpan w:val="2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gridSpan w:val="2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gridSpan w:val="2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gridSpan w:val="2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D63DD2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gridSpan w:val="2"/>
            <w:vMerge w:val="restart"/>
            <w:vAlign w:val="center"/>
          </w:tcPr>
          <w:p w14:paraId="39165CBE" w14:textId="5A617B81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D63DD2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5B27EC88" w14:textId="77777777" w:rsidR="00D63DD2" w:rsidRPr="00890497" w:rsidRDefault="00D63DD2" w:rsidP="00D63DD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D63DD2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2F5507ED" w14:textId="77777777" w:rsidR="00D63DD2" w:rsidRPr="00890497" w:rsidRDefault="00D63DD2" w:rsidP="00D63DD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D63DD2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D63DD2" w:rsidRPr="00890497" w:rsidRDefault="00D63DD2" w:rsidP="00D63DD2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gridSpan w:val="2"/>
            <w:vMerge w:val="restart"/>
            <w:vAlign w:val="center"/>
          </w:tcPr>
          <w:p w14:paraId="7446830C" w14:textId="77777777" w:rsidR="00D63DD2" w:rsidRPr="000C6A6F" w:rsidRDefault="00D63DD2" w:rsidP="00D63DD2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501E47C3" w14:textId="77777777" w:rsidR="00D63DD2" w:rsidRPr="00081E20" w:rsidRDefault="00D63DD2" w:rsidP="00D63DD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34B3ECF7" w14:textId="77777777" w:rsidR="00D63DD2" w:rsidRPr="00081E20" w:rsidRDefault="00D63DD2" w:rsidP="00D63DD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lastRenderedPageBreak/>
              <w:t>5% Participación en las actividades del aula.</w:t>
            </w:r>
          </w:p>
          <w:p w14:paraId="4AC693C6" w14:textId="77777777" w:rsidR="00D63DD2" w:rsidRDefault="00D63DD2" w:rsidP="00D63DD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3F1FFB61" w:rsidR="00D63DD2" w:rsidRPr="00890497" w:rsidRDefault="00D63DD2" w:rsidP="00D63DD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D63DD2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4375C41E" w14:textId="77777777" w:rsidR="00D63DD2" w:rsidRPr="00890497" w:rsidRDefault="00D63DD2" w:rsidP="00D63DD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63DD2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1AC44F86" w14:textId="77777777" w:rsidR="00D63DD2" w:rsidRPr="00890497" w:rsidRDefault="00D63DD2" w:rsidP="00D63DD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63DD2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gridSpan w:val="2"/>
            <w:vMerge w:val="restart"/>
            <w:vAlign w:val="center"/>
          </w:tcPr>
          <w:p w14:paraId="2A4BCAE6" w14:textId="77777777" w:rsidR="00D63DD2" w:rsidRPr="000C6A6F" w:rsidRDefault="00D63DD2" w:rsidP="00D63DD2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77508D3A" w14:textId="77777777" w:rsidR="00D63DD2" w:rsidRDefault="00D63DD2" w:rsidP="00D63DD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6846DAFC" w:rsidR="00D63DD2" w:rsidRPr="00D63DD2" w:rsidRDefault="00D63DD2" w:rsidP="00D63DD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D63DD2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D63DD2" w:rsidRPr="00890497" w:rsidRDefault="00D63DD2" w:rsidP="00D63DD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gridSpan w:val="2"/>
            <w:vMerge/>
            <w:vAlign w:val="center"/>
          </w:tcPr>
          <w:p w14:paraId="192A8D3D" w14:textId="77777777" w:rsidR="00D63DD2" w:rsidRPr="00890497" w:rsidRDefault="00D63DD2" w:rsidP="00D63DD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63DD2" w14:paraId="2CA4CA87" w14:textId="77777777" w:rsidTr="00D63DD2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gridSpan w:val="2"/>
            <w:vMerge/>
            <w:vAlign w:val="center"/>
          </w:tcPr>
          <w:p w14:paraId="30D9BFEE" w14:textId="77777777" w:rsidR="00D63DD2" w:rsidRPr="00890497" w:rsidRDefault="00D63DD2" w:rsidP="00D63DD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63DD2" w14:paraId="66F7ECC1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3454F2D1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9F40761" w14:textId="77777777" w:rsidR="00D63DD2" w:rsidRPr="00890497" w:rsidRDefault="00D63DD2" w:rsidP="00D63DD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61CBEAB4" w14:textId="3A38B25D" w:rsidR="00D63DD2" w:rsidRPr="00890497" w:rsidRDefault="00D63DD2" w:rsidP="00D63DD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6939"/>
        <w:gridCol w:w="3202"/>
      </w:tblGrid>
      <w:tr w:rsidR="00CB6D8C" w:rsidRPr="009C0468" w14:paraId="6BBCF374" w14:textId="77777777" w:rsidTr="00CB6D8C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77777777" w:rsidR="00CB6D8C" w:rsidRPr="008D097E" w:rsidRDefault="00CB6D8C" w:rsidP="00CB6D8C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3831AF86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693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2DAA79A3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7. </w:t>
            </w:r>
            <w:r>
              <w:rPr>
                <w:rFonts w:ascii="Cambria" w:hAnsi="Cambria" w:cs="Arial Hebrew Scholar"/>
                <w:b/>
                <w:szCs w:val="28"/>
              </w:rPr>
              <w:t>La energía y los cambios de la materia</w:t>
            </w:r>
          </w:p>
        </w:tc>
        <w:tc>
          <w:tcPr>
            <w:tcW w:w="320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7CB39DDE" w:rsidR="00CB6D8C" w:rsidRPr="00FD4444" w:rsidRDefault="00CB6D8C" w:rsidP="00CB6D8C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abril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43579A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5753735F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Utilización de actividades de refuerzo o ampliación según las necesidades de cada alumno.</w:t>
            </w:r>
          </w:p>
        </w:tc>
      </w:tr>
      <w:tr w:rsidR="0043579A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43579A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43579A" w:rsidRPr="00890497" w:rsidRDefault="0043579A" w:rsidP="0043579A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993B"/>
        <w:kern w:val="1"/>
        <w:sz w:val="19"/>
        <w:szCs w:val="19"/>
      </w:rPr>
    </w:lvl>
  </w:abstractNum>
  <w:abstractNum w:abstractNumId="1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21552E"/>
    <w:rsid w:val="0024707D"/>
    <w:rsid w:val="00265648"/>
    <w:rsid w:val="003116B4"/>
    <w:rsid w:val="003265C8"/>
    <w:rsid w:val="003A5F97"/>
    <w:rsid w:val="003D7A79"/>
    <w:rsid w:val="0043579A"/>
    <w:rsid w:val="00450FD2"/>
    <w:rsid w:val="00620962"/>
    <w:rsid w:val="00670B50"/>
    <w:rsid w:val="006C5A4C"/>
    <w:rsid w:val="006C6C59"/>
    <w:rsid w:val="00705CB1"/>
    <w:rsid w:val="00743D2E"/>
    <w:rsid w:val="008370EB"/>
    <w:rsid w:val="00890497"/>
    <w:rsid w:val="0089721E"/>
    <w:rsid w:val="008D097E"/>
    <w:rsid w:val="00903A65"/>
    <w:rsid w:val="00932507"/>
    <w:rsid w:val="009C0468"/>
    <w:rsid w:val="009F1D6B"/>
    <w:rsid w:val="009F237A"/>
    <w:rsid w:val="00AA4BE2"/>
    <w:rsid w:val="00C176DB"/>
    <w:rsid w:val="00C70232"/>
    <w:rsid w:val="00CB6D8C"/>
    <w:rsid w:val="00D23D5B"/>
    <w:rsid w:val="00D27A2F"/>
    <w:rsid w:val="00D63DD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CB6D8C"/>
    <w:pPr>
      <w:suppressAutoHyphens/>
      <w:spacing w:after="200" w:line="276" w:lineRule="auto"/>
      <w:ind w:left="720"/>
      <w:textAlignment w:val="baseline"/>
    </w:pPr>
    <w:rPr>
      <w:rFonts w:ascii="Calibri" w:eastAsia="SimSun" w:hAnsi="Calibri" w:cs="Calibri"/>
      <w:kern w:val="1"/>
      <w:sz w:val="22"/>
      <w:szCs w:val="2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12</cp:revision>
  <dcterms:created xsi:type="dcterms:W3CDTF">2017-09-25T15:33:00Z</dcterms:created>
  <dcterms:modified xsi:type="dcterms:W3CDTF">2021-10-04T13:40:00Z</dcterms:modified>
</cp:coreProperties>
</file>